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before="12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Министерство цифрового развития, связи и массовых коммуникаций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Российской Федерации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ФГБОУ ВО «Сибирский государственный университет телекоммуникаций и информатики»</w:t>
      </w:r>
    </w:p>
    <w:p>
      <w:pPr>
        <w:spacing w:after="10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Уральский технический институт связи и информатики (УрТИСИ СибГУТИ)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b/>
          <w:bCs/>
          <w:sz w:val="36"/>
          <w:szCs w:val="36"/>
        </w:rPr>
        <w:t xml:space="preserve">ОТВЕТЫ НА ЭКЗАМЕНАЦИОННЫЙ БИЛЕТ № 2</w:t>
      </w:r>
    </w:p>
    <w:p>
      <w:pPr>
        <w:spacing w:after="400"/>
        <w:jc w:val="center"/>
      </w:pPr>
      <w:r>
        <w:rPr>
          <w:rFonts w:ascii="Times New Roman" w:cs="Times New Roman" w:eastAsia="Times New Roman" w:hAnsi="Times New Roman"/>
          <w:i/>
          <w:iCs/>
          <w:sz w:val="26"/>
          <w:szCs w:val="26"/>
        </w:rPr>
        <w:t xml:space="preserve">Итоговый государственный междисциплинарный экзамен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sz w:val="26"/>
          <w:szCs w:val="26"/>
        </w:rPr>
        <w:t xml:space="preserve">Направление подготовки 09.04.01 «Информатика и вычислительная техника»</w:t>
      </w:r>
    </w:p>
    <w:p>
      <w:pPr>
        <w:spacing w:after="800"/>
        <w:jc w:val="center"/>
      </w:pPr>
      <w:r>
        <w:rPr>
          <w:rFonts w:ascii="Times New Roman" w:cs="Times New Roman" w:eastAsia="Times New Roman" w:hAnsi="Times New Roman"/>
          <w:sz w:val="26"/>
          <w:szCs w:val="26"/>
        </w:rPr>
        <w:t xml:space="preserve">Профиль: «Инженерия программного обеспечения и информационных систем»</w:t>
      </w:r>
    </w:p>
    <w:p>
      <w:pPr>
        <w:spacing w:after="240" w:before="600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Вопросы билета: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1. Проблемы человеко-машинных взаимодействий.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2. Что такое MCAR, MAR и MNAR в контексте пропущенных значений?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3. Постройте линейный график зависимости средней цены квартиры от года постройки (year_built) на основе датасета apartments.csv.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1. Проблемы человеко-машинных взаимодействий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1.1. Что такое человеко-машинное взаимодействие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Человеко-машинное взаимодействие (ЧМВ; англ. Human-Computer Interaction, HCI) — это междисциплинарное научное и инженерное направление, изучающее проектирование, разработку и оценку интерактивных вычислительных систем с точки зрения их использования человеком, а также исследующее психологические, когнитивные, эргономические и социальные аспекты этого взаимодействия. Дисциплина возникла в начале 1980-х годов на стыке информатики, инженерной психологии, эргономики, графического дизайна и когнитивных наук; одна из первых формальных моделей взаимодействия — модель GOMS (Goals, Operators, Methods, Selection rules) — была предложена Стюартом Кардом, Томасом Мораном и Алленом Ньюэллом в 1983 году.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Объектом изучения ЧМВ является не только пользовательский интерфейс (User Interface, UI) — графические окна, кнопки, формы, — но и более широкое понятие пользовательского опыта (User Experience, UX): эмоциональная реакция, удобство, эффективность достижения целей, доверие к системе. Сегодня к ЧМВ относят также взаимодействие человека с мобильными устройствами, голосовыми ассистентами, системами виртуальной и дополненной реальности, нейроинтерфейсами и интеллектуальными агентами на основе ИИ.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1.2. Систематизация проблем ЧМВ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Все актуальные проблемы человеко-машинного взаимодействия можно объединить в восемь взаимосвязанных групп. Краткий обзор представлен в таблице, ниже каждая группа разобрана подробнее.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700"/>
        <w:gridCol w:w="666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6"/>
                <w:szCs w:val="26"/>
              </w:rPr>
              <w:t xml:space="preserve">Группа проблем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6"/>
                <w:szCs w:val="26"/>
              </w:rPr>
              <w:t xml:space="preserve">Конкретные проявления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Когнитивные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Информационная перегрузка, ограничения рабочей памяти, расхождение ментальных моделей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Эргономические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Усталость, синдром компьютерного зрения (CVS), мышечно-скелетные нарушения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Психологические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Технофобия, цифровой стресс, технозависимость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Юзабилити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Сложность, низкая обучаемость, высокая частота ошибок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Социальные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Цифровое неравенство, языковые/культурные барьеры, доступность для людей с ОВЗ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Безопасность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Утечки персональных данных, социальная инженерия, фишинг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Этические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Тёмные паттерны (dark patterns), манипуляция вниманием, предвзятость алгоритмов ИИ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Технические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Время отклика, кросс-платформенность, точность распознавания голоса/жестов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1.3. Когнитивные проблемы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Когнитивные проблемы связаны с ограниченными возможностями человеческого мышления и восприятия информации. Современный пользователь сталкивается с явлением информационной перегрузки (information overload): объём поступающих данных — уведомлений, писем, новостей, рекламы — превышает возможности их осмысленной обработки. Согласно классической работе Джорджа Миллера «Магическое число 7 ± 2», рабочая (кратковременная) память человека способна одновременно удерживать всего 5–9 единиц информации, что налагает жёсткие ограничения на сложность интерфейса.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Серьёзной проблемой является расхождение ментальных моделей разработчика и пользователя: программист видит систему как набор технических сущностей (БД, таблиц, методов API), а пользователь — через призму своих повседневных задач. Если интерфейс отражает модель разработчика, а не пользователя, он становится непонятным. Это требование «модели пользователя» сформулировал Дональд Норман в книге «Дизайн привычных вещей» (1988).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1.4. Эргономические проблемы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Длительное взаимодействие с компьютером порождает физиологические проблемы. Наиболее распространённые: синдром компьютерного зрения (Computer Vision Syndrome, CVS) — сухость глаз, размытость зрения, головные боли, возникающие после нескольких часов работы; синдром запястного канала (карпальный туннельный синдром) — травма срединного нерва от однообразных движений мышью и клавиатурой; нарушения осанки и боли в шейном и поясничном отделах позвоночника от неправильной посадки. Эргономические требования к рабочему месту оператора ЭВМ кодифицированы в стандарте ISO 9241 (части 4 и 5), а в России — в СанПиН 1.2.3685-21.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1.5. Психологические проблемы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 психологическим проблемам относятся: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Технофобия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иррациональный страх перед технологиями, особенно характерный для пожилых пользователей и людей, не получивших цифрового образования;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Цифровой стресс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(techno-stress) — состояние тревоги, вызванное необходимостью постоянной онлайн-присутствия, многозадачностью и страхом упустить важное (Fear Of Missing Out, FOMO);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Технозависимость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компульсивное использование смартфонов, социальных сетей, видеоигр; в международной классификации болезней МКБ-11 признана как игровое расстройство (gaming disorder);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Эффект «дешёвой долины»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(uncanny valley) — психологический дискомфорт от взаимодействия с почти человекоподобными аватарами и роботами.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1.6. Проблемы юзабилити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Юзабилити (usability) — степень эффективности, продуктивности и удовлетворённости, с которой пользователь достигает своих целей в системе (определение стандарта ISO 9241-11). Основные нарушения юзабилити: избыточная сложность интерфейса, скрытые функции, противоречивые элементы управления, отсутствие обратной связи, плохая обучаемость новых пользователей. Якоб Нильсен сформулировал 10 эвристик юзабилити (1994 г.), нарушение которых порождает большинство практических проблем: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видимость состояния системы;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соответствие между системой и реальным миром;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свобода и контроль пользователя;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единообразие и стандарты;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предотвращение ошибок;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узнавание вместо припоминания;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гибкость и эффективность использования;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эстетичность и минималистский дизайн;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помощь пользователю в распознавании, диагностике и исправлении ошибок;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доступная документация и справка.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1.7. Социальные и культурные проблемы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Социальный аспект ЧМВ выражен прежде всего в проблеме цифрового неравенства (digital divide) — разрыва между группами населения по доступу и навыкам пользования цифровыми технологиями. Различают неравенство первого уровня (отсутствие самого доступа к интернету и устройствам), второго уровня (различия в навыках использования) и третьего уровня (различия в результатах, которые люди получают от использования технологий). Особо остро эта проблема стоит для пожилых людей, жителей удалённых регионов и социально незащищённых групп.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Близка к этому проблема доступности (accessibility) — обеспечения возможности использования системы людьми с ограниченными возможностями здоровья (нарушения зрения, слуха, моторики, когнитивные нарушения). Международный стандарт WCAG 2.1 (Web Content Accessibility Guidelines) описывает критерии доступности веб-ресурсов; в России действует ГОСТ Р 52872. Несоблюдение этих требований фактически исключает значительную долю аудитории.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Существенны также культурные и языковые барьеры: интерфейс, разработанный в одной культуре, может оказаться непонятным или оскорбительным в другой (направление чтения, цветовая символика, иконографика, форматы дат и валют). Эта проблема решается интернационализацией (i18n) и локализацией (l10n) программного обеспечения.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1.8. Проблемы безопасности и приватности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Современные интерактивные системы массово собирают персональные данные пользователей: историю запросов, геолокацию, биометрию, голосовые записи. Ключевые проблемы: непрозрачность сбора данных (пользователь не понимает, что и зачем собирается), сложность отзыва согласия, утечки данных при взломах, использование данных третьими сторонами без явного согласия. На уровне взаимодействия проблемы безопасности проявляются в подверженности пользователей социальной инженерии и фишингу: даже технически защищённая система может быть скомпрометирована через человеческий фактор. Регулируются эти аспекты Федеральным законом № 152-ФЗ «О персональных данных» и европейским регламентом GDPR.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1.9. Этические проблемы и тёмные паттерны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Современный коммерческий дизайн интерфейсов нередко строится на эксплуатации психологических уязвимостей пользователя. Гарри Бриньолл в 2010 году ввёл термин «тёмные паттерны» (dark patterns) — приёмы, заставляющие пользователя совершить нежелательное действие: вынуждение к подписке, сокрытие кнопки отписки, ложные сроки скидок, подмена согласия (например, флажок «не присылать рассылку» по умолчанию выключен). К этой же категории относится экономика внимания (attention economy): дизайн уведомлений, бесконечные ленты и рекомендательные алгоритмы оптимизированы под максимизацию времени пользователя в приложении, а не его реальной пользы.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Отдельный пласт — этика взаимодействия с системами искусственного интеллекта: предвзятость алгоритмов (algorithmic bias), отсутствие объяснимости решений (problem of explainability, требование XAI — eXplainable AI), ответственность за решения, принимаемые автономными системами (беспилотные автомобили, медицинские диагностические системы), и манипулирование пользователем с помощью дипфейков.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1.10. Технические проблемы взаимодействия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 техническим проблемам относятся: задержка отклика (latency) — критический параметр, заметно ухудшающий восприятие при превышении 100 мс; кросс-платформенная совместимость — необходимость поддержки множества устройств, экранов, операционных систем; адаптивный дизайн (responsive design); точность распознавания голоса и жестов в современных мультимодальных интерфейсах; калибровка устройств виртуальной и дополненной реальности (киберболезнь, motion sickness, возникающая из-за рассогласования визуальной и вестибулярной систем).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1.11. Новые вызовы ЧМВ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 развитием технологий возникают новые направления и проблемы взаимодействия: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Голосовые интерфейсы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(Voice UI): Алиса, Маруся, Siri, Alexa — проблемы естественности диалога, обработки контекста, омонимии, многозадачности;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VR/AR-системы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киберболезнь, утомляемость от ношения очков, безопасность движений в физическом пространстве;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Brain-Computer Interfaces (BCI)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нейроинтерфейсы (Neuralink, Kernel) — этические, медицинские и технические вызовы прямого подключения мозга;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Взаимодействие с ИИ-агентами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ChatGPT, Claude, GigaChat: проблемы доверия, проверки фактов, передачи контекста, восприятия искусственной личности;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Жестовые и пространственные интерфейсы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Apple Vision Pro, Meta Quest — формирование новых парадигм взаимодействия.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1.12. Принципы преодоления проблем ЧМВ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Решение перечисленных проблем основано на следующих принципах проектирования: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User-Centered Design (UCD) — проектирование, ориентированное на пользователя: с регулярным вовлечением реальных пользователей в исследования, тестирование и итеративное улучшение;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соблюдение стандартов ISO 9241, WCAG 2.1, ГОСТ Р 52872, ГОСТ 22269-76;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проведение юзабилити-тестирования и A/B-тестов;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инклюзивный дизайн (inclusive design) — обеспечение доступности для всех групп пользователей;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этичный дизайн (ethical design) — отказ от тёмных паттернов, прозрачность сбора данных, право пользователя на контроль;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обучение пользователей и повышение цифровой грамотности населения.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1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Проблемы человеко-машинных взаимодействий носят комплексный междисциплинарный характер и охватывают восемь основных областей: когнитивные ограничения пользователя, эргономические нарушения здоровья, психологические эффекты (технофобия, цифровой стресс, технозависимость), проблемы юзабилити, социальные и культурные барьеры (цифровое неравенство, доступность), вопросы безопасности и приватности персональных данных, этические проблемы (тёмные паттерны, манипуляция вниманием, ИИ-этика) и технические ограничения (задержка, кросс-платформенность, голосовые и VR/AR-интерфейсы). Преодоление этих проблем требует ориентированного на пользователя проектирования, соблюдения международных и национальных стандартов (ISO 9241, WCAG, ГОСТ), систематического юзабилити-тестирования и этической ответственности разработчиков.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2. MCAR, MAR и MNAR в контексте пропущенных значений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2.1. Что такое пропущенные значения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i/>
          <w:iCs/>
          <w:sz w:val="28"/>
          <w:szCs w:val="28"/>
        </w:rPr>
        <w:t xml:space="preserve">Пропущенные значения (missing values, NA — Not Available, NaN — Not a Number) — это отсутствие данных в одной или нескольких ячейках набора данных, который предполагалось получить. Пропуски возникают по самым разным причинам: технические сбои оборудования, ошибки ввода данных оператором, отказ респондента отвечать на вопрос анкеты, цензурирование данных (например, пациент выбыл из клинического исследования), особенности процесса сбора данных. Игнорировать пропуски нельзя: большинство классических алгоритмов машинного обучения (линейная регрессия, логистическая регрессия, SVM, k-means, нейронные сети) не работают с NaN и требуют либо удаления неполных строк, либо подстановки значений (импутации). Однако простое удаление или произвольная подстановка могут привести к серьёзному смещению (bias) выводов модели — поэтому критически важно понимать 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2.2. Классификация Рубина (1976 г.)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Современную систематическую классификацию механизмов пропуска предложил американский статистик Дональд Рубин в работе «Inference and Missing Data» (1976), и она до сих пор является общепринятой. Рубин разделил пропуски на три категории в зависимости от того, от чего зависит вероятность пропуска: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00"/>
        <w:gridCol w:w="2700"/>
        <w:gridCol w:w="3060"/>
        <w:gridCol w:w="230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6"/>
                <w:szCs w:val="26"/>
              </w:rPr>
              <w:t xml:space="preserve">Тип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6"/>
                <w:szCs w:val="26"/>
              </w:rPr>
              <w:t xml:space="preserve">Зависит от...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6"/>
                <w:szCs w:val="26"/>
              </w:rPr>
              <w:t xml:space="preserve">Пример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6"/>
                <w:szCs w:val="26"/>
              </w:rPr>
              <w:t xml:space="preserve">Можно ли удалить?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MCAR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ни от чего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Случайный сбой датчика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Да, без смещения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MAR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наблюдаемых признаков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Мужчины реже указывают вес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Нет, нужна импутация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MNAR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самого пропущенного значения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Богатые скрывают доход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Нет, требуется модель пропуска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Формально: пусть Y — матрица данных, R — индикаторная матрица пропусков (R[i,j] = 1, если значение пропущено), Y_obs — наблюдаемая часть данных, Y_mis — пропущенная. Тогда: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MCAR: P(R | Y_obs, Y_mis) = P(R) — вероятность пропуска постоянна и не зависит от данных вообще;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MAR: P(R | Y_obs, Y_mis) = P(R | Y_obs) — вероятность пропуска зависит только от того, что мы наблюдаем;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MNAR: P(R | Y_obs, Y_mis) зависит от Y_mis — вероятность пропуска зависит от самого пропущенного значения.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2.3. MCAR — Missing Completely At Random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Полностью случайные пропуски (Missing Completely At Random, MCAR) — самая «безобидная» категория. Вероятность того, что значение окажется пропущенным, не зависит ни от наблюдаемых, ни от ненаблюдаемых характеристик объекта. Иначе говоря, пропущенные наблюдения являются случайной подвыборкой полных данных.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Примеры MCAR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Случайный сбой датчика температуры на 3 секунды — значения за эти секунды пропали по чисто технической, не связанной с измеряемой температурой, причине;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Часть анкет потерялась при перевозке из-за упавшей коробки;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Лабораторный анализ не выполнен по техническим причинам, не связанным с состоянием пациента.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Последствия и методы обработки MCAR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Так как пропуски не связаны с данными, удаление строк с пропусками (listwise deletion, complete-case analysis) не вносит смещения, лишь снижает объём выборки и точность оценок. Допустимы простые методы: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listwise deletion — удаление строк с пропусками;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pairwise deletion — использование всех доступных пар при вычислении статистик;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замена средним, медианой или модой;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замена константой (например, 0 или специальной меткой «нет данных»).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Проверка MCAR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Гипотезу о MCAR можно проверить статистически с помощью теста Литтла (Little's MCAR test, 1988). Тест строит χ²-статистику для проверки того, что распределения наблюдаемых переменных одинаковы во всех подгруппах, определяемых паттерном пропусков. Если p-value &lt; 0,05 — гипотеза MCAR отвергается, и пропуски, скорее всего, MAR или MNAR. В Python тест реализован в библиотеке impyute (impyute.imputation.cs.little_mcar_test).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2.4. MAR — Missing At Random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Случайные пропуски при условии наблюдаемых данных (Missing At Random, MAR) — более распространённая и сложная категория. Вероятность пропуска зависит от других, наблюдаемых характеристик объекта, но не от самого пропущенного значения. Название несколько вводит в заблуждение: пропуски в действительности не случайны, но становятся «условно случайными» при учёте остальных переменных.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Примеры MAR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опросе о здоровье мужчины систематически реже указывают вес, чем женщины. При этом вероятность отказа определяется полом (наблюдаемая переменная), а не самим весом;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Пожилые респонденты чаще пропускают вопросы о использовании смартфонов. Зависимость от возраста (наблюдаемая величина), а не от ответа;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Пациенты определённой возрастной группы чаще пропускают визиты к врачу, что приводит к пропускам в их медицинских картах.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Методы обработки MAR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Простое удаление строк или замена средним приводит к смещению. Корректные подходы: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Импутация по группам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замена среднего/медианы вычисляется отдельно для каждой группы по наблюдаемой переменной (например, отдельно для мужчин и женщин);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Регрессионная импутация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пропущенное значение предсказывается регрессионной моделью по остальным признакам;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KNN-imputation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замена значения средним по k ближайшим соседям в пространстве признаков (sklearn.impute.KNNImputer);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Множественная импутация MICE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(Multiple Imputation by Chained Equations) — последовательное построение регрессионных моделей для каждой переменной с пропусками; создаётся несколько (обычно 5–10) импутированных датасетов, на каждом обучается модель, итоговый результат усредняется. Реализована в sklearn.impute.IterativeImputer и в библиотеке fancyimpute;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Maximum Likelihood (Full Information ML, FIML)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оценка параметров модели с учётом неполных данных через максимизацию правдоподобия.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2.5. MNAR — Missing Not At Random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Неслучайные пропуски (Missing Not At Random, MNAR), также называемые NMAR (Not Missing At Random) или non-ignorable missingness, — самая сложная категория. Вероятность пропуска зависит от самого ненаблюдаемого (пропущенного) значения, даже после учёта всех остальных переменных. Это означает, что причина пропуска информативна сама по себе.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Примеры MNAR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Люди с очень высокими доходами систематически отказываются указывать свой доход в опросах — пропуск зависит от самой величины дохода;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Тяжёлые пациенты чаще выбывают из клинического исследования — выход из исследования зависит от состояния, которое и было предметом измерения;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опросе об удовлетворённости работой недовольные сотрудники чаще пропускают вопрос — потому что они недовольны;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Датчик уровня жидкости перестаёт работать при превышении критического значения — пропуски возникают именно тогда, когда значение должно было быть большим.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Последствия и методы обработки MNAR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MNAR-пропуски нельзя корректно обработать стандартными методами импутации — любая такая обработка вносит смещение. Требуется явное моделирование процесса возникновения пропуска. Используют следующие подходы: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Selection models (модель Хекмана)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одновременно моделируется и зависимая переменная, и вероятность её пропуска (двухшаговая процедура Хекмана, 1979 — Нобелевская премия по экономике 2000 г.);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Pattern-mixture models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распределение данных моделируется отдельно для каждого паттерна пропусков;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Индикатор пропуска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добавление дополнительного бинарного признака «значение пропущено», что позволяет модели выучить связь между пропуском и целевой переменной;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Анализ чувствительности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проверка устойчивости выводов к различным предположениям о механизме пропуска;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Сбор дополнительных данных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если возможно, активный поиск пропавших респондентов и повторное измерение.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2.6. Практические рекомендации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Алгоритм работы с пропущенными значениями на практике: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Провести EDA пропусков — рассчитать долю пропусков по каждому признаку, визуализировать их структуру (библиотека missingno в Python: matrix, bar, heatmap, dendrogram);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Проанализировать паттерны: пропуски в одной строке, в одном столбце, или коррелированные между признаками;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Выдвинуть гипотезу о механизме (MCAR/MAR/MNAR) на основе понимания предметной области;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Проверить гипотезу о MCAR тестом Литтла;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Выбрать метод обработки в соответствии с механизмом;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При необходимости — провести анализ чувствительности, сравнив результаты нескольких методов импутации.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2.7. Современные подходы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Помимо классических методов в последние годы развиваются: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Нативная поддержка пропусков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в современных алгоритмах: градиентные бустинги XGBoost, LightGBM, CatBoost умеют работать с NaN без предварительной импутации, обучая для них специальные ветви деревьев;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Глубокое обучение для импутации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GAIN (Generative Adversarial Imputation Networks), MIDA (Multiple Imputation using Denoising Autoencoders) — генеративные модели, способные воспроизводить распределение наблюдаемых данных;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MissForest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непараметрический метод импутации на основе случайного леса, эффективен для смешанных типов данных.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2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Согласно классификации Рубина (1976), пропущенные значения в данных делятся на три категории по механизму возникновения: MCAR — полностью случайные пропуски, не зависящие от данных; MAR — пропуски, зависящие только от наблюдаемых признаков; MNAR — пропуски, зависящие от самого пропущенного значения. Выбор корректного метода обработки напрямую определяется механизмом: для MCAR допустимо удаление или простая импутация средним; для MAR требуются методы импутации с учётом контекста (KNN, MICE, регрессионная импутация); для MNAR — явное моделирование процесса пропуска (модели Хекмана, pattern-mixture). Неправильное предположение о механизме пропуска ведёт к смещению модели и ошибочным выводам, поэтому диагностика типа пропусков — обязательный этап подготовки данных в любом проекте машинного обучения.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3. Линейный график средней цены квартиры от года постройки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3.1. Постановка задачи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Требуется загрузить датасет apartments.csv, содержащий сведения о квартирах (предположительно с колонками year_built — год постройки и price — цена), сгруппировать данные по году постройки, вычислить среднюю цену для каждого года и построить линейный график зависимости средней цены от года, подписав оси и добавив заголовок.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3.2. Что и как делаем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Алгоритм решения состоит из четырёх логических шагов: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1. Загрузка датасета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из CSV-файла в объект DataFrame библиотеки pandas — это таблица с именованными столбцами, удобная для табличных операций;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2. Предварительный осмотр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данных: проверка наличия нужных колонок, типов данных, пропусков и явных аномалий (например, year_built = 0 или price &lt; 0);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3. Группировка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данных по столбцу year_built методом groupby() и вычисление среднего значения price в каждой группе агрегирующей функцией mean();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4. Визуализация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полученной зависимости с помощью библиотеки matplotlib: линейный график, подписи осей, заголовок, сетка.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3.3. Что необходимо установить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Для решения требуется интерпретатор Python версии 3.10 или выше. В стандартный дистрибутив Python библиотеки pandas и matplotlib не входят, их необходимо установить отдельно. Это делается одной командой в терминале: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pip install pandas matplotlib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Назначение библиотек: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pandas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фундаментальная библиотека для работы с табличными данными в Python. Предоставляет структуры данных DataFrame (двумерная таблица) и Series (одномерный массив с индексом), а также мощные методы группировки, фильтрации, агрегации, чтения и записи CSV / Excel / SQL / JSON. Версия 2.x — текущий стандарт;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matplotlib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самая распространённая библиотека для построения графиков в Python; модуль matplotlib.pyplot обеспечивает «интерфейс в стиле MATLAB». Использовать её знакомо большинству аналитиков, она интегрирована с pandas (можно вызывать df.plot() напрямую).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Альтернативой matplotlib является библиотека seaborn, построенная поверх matplotlib и обеспечивающая более красивый вид «по умолчанию», но в данной задаче достаточно базового matplotlib.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Если Python и Jupyter уже установлены через дистрибутив Anaconda, дополнительной установки не требуется — pandas и matplotlib включены в Anaconda по умолчанию.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3.4. Описание структуры программы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Используемые переменные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df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(pandas.DataFrame) — основная таблица с данными квартир, загруженная из CSV;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mean_prices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(pandas.Series) — результат группировки и агрегации: индекс — год постройки, значения — средняя цена в этом году;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fig, ax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(matplotlib.figure.Figure, matplotlib.axes.Axes) — объекты фигуры и осей графика, используются при объектно-ориентированном стиле построения.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Используемые функции и методы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pd.read_csv(path)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читает CSV-файл и возвращает DataFrame;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df.info(), df.head(), df.describe()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методы первичного осмотра данных (типы колонок, первые строки, описательная статистика);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df.dropna(subset=...)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удаление строк, где пропущены значения в указанных колонках;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df.groupby('year_built')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группирует строки по уникальным значениям года постройки;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['price'].mean()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выбирает колонку price из сгруппированных данных и вычисляет среднее по каждой группе;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.sort_index()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сортирует Series по индексу (по году), что нужно для корректного линейного графика;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plt.figure(figsize=(W, H))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создаёт фигуру заданного размера в дюймах;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plt.plot(x, y, ...)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строит линейный график;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plt.xlabel, plt.ylabel, plt.title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подписи осей и заголовок;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plt.grid(True)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включает сетку;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plt.tight_layout()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автоматически подгоняет отступы;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plt.savefig(path)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сохраняет график в файл;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plt.show()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отображает график на экране.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3.5. Полный исходный код (apartments_plot.py)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-*- coding: utf-8 -*-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Построение линейного графика зависимости средней цены квартиры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от года постройки на основе датасета apartments.csv.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import pandas as pd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import matplotlib.pyplot as plt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---------- Шаг 1. Загрузка датасета ----------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df = pd.read_csv("apartments.csv")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Краткий осмотр данных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print("Размер таблицы:", df.shape)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print("Колонки:", df.columns.tolist())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print(df.head())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print(df.info())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---------- Шаг 2. Очистка данных ----------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Удаляем строки, где отсутствует год постройки или цена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df = df.dropna(subset=["year_built", "price"])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Приводим год к целому типу (на случай, если он считался как float)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df["year_built"] = df["year_built"].astype(int)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Фильтрация явных аномалий: оставляем только разумный диапазон годов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df = df[(df["year_built"] &gt;= 1900) &amp; (df["year_built"] &lt;= 2025)]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Фильтрация отрицательных и нулевых цен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df = df[df["price"] &gt; 0]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---------- Шаг 3. Группировка и агрегация ----------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mean_prices = (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df.groupby("year_built")["price"]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.mean()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.sort_index()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print("\nСредние цены по годам (первые 10 строк):")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print(mean_prices.head(10))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---------- Шаг 4. Построение графика ----------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plt.figure(figsize=(12, 6))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plt.plot(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mean_prices.index,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mean_prices.values,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marker="o",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linewidth=2,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color="steelblue",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plt.xlabel("Год постройки")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plt.ylabel("Средняя цена квартиры, руб.")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plt.title("Зависимость средней цены квартиры от года постройки")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plt.grid(True, alpha=0.3)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plt.tight_layout()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Сохраняем картинку (опционально) и показываем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plt.savefig("mean_price_by_year.png", dpi=150)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plt.show()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3.6. Пояснения к ключевым строкам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Загрузка CSV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Функция pd.read_csv() читает файл с разделителем-запятой и возвращает DataFrame. Если файл использует другой разделитель (например, точку с запятой), указывают параметр sep=';'. Если файл в UTF-8 с BOM — encoding='utf-8-sig'. Для русских файлов из Excel часто требуется encoding='cp1251'.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Очистка данных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Перед группировкой важно убрать строки с пропусками в ключевых колонках — иначе groupby создаст отдельную «фантомную» группу NaN. Метод dropna(subset=[...]) удаляет строки только если пропуск в указанных столбцах. Дополнительно — фильтрация явных аномалий: год постройки 0 или 9999, отрицательная цена. Без этой фильтрации график получится визуально некорректным.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Группировка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Метод df.groupby('year_built') разбивает таблицу на группы по уникальным значениям столбца year_built. Выражение ['price'].mean() говорит: «возьми колонку price и вычисли среднее в каждой группе». Результат — объект Series, где индекс — год, а значения — средняя цена. Метод sort_index() сортирует по индексу: для линейного графика это критично, иначе линия будет «зигзагом».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Параметры графика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figsize=(12, 6)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ширина 12 и высота 6 дюймов; даёт широкий график, на котором не сольются годы;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marker='o'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на каждой точке рисуется маленький круг, что подчёркивает реальные наблюдения;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linewidth=2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толщина линии;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grid(True, alpha=0.3)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полупрозрачная сетка для удобства считывания значений;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tight_layout()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автоматически устраняет наезд подписей друг на друга;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savefig(..., dpi=150)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сохраняет график в PNG с разрешением 150 DPI.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3.7. Возможные расширения программы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Доверительный интервал: использовать seaborn.lineplot(x, y, ci=95) для отображения доверительного интервала вокруг средней;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Сглаживание: применить скользящее среднее (mean_prices.rolling(window=5).mean()), чтобы устранить шум;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Группировка по десятилетиям: df['decade'] = (df['year_built'] // 10) * 10, далее groupby('decade');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Разделение по числу комнат: df.groupby(['year_built', 'rooms'])['price'].mean().unstack() — получится несколько линий на одном графике;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Линия тренда: numpy.polyfit для аппроксимации полиномом;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Интерактивная визуализация: библиотека plotly (plotly.express.line) — позволяет наводить курсор и видеть точные значения.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3.8. Ожидаемый результат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результате запуска скрипта будет построен линейный график шириной 12 дюймов: по оси X откладываются годы постройки (например, от 1950 до 2024), по оси Y — средняя цена квартиры в рублях. Каждая точка соответствует одному году, точки соединены линией. Под графиком видны подписи осей «Год постройки» и «Средняя цена квартиры, руб.», сверху — заголовок «Зависимость средней цены квартиры от года постройки». Включена полупрозрачная сетка. Параллельно график сохраняется в файл mean_price_by_year.png в рабочей директории.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3.9. Результат запуска программы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Программа была запущена на тестовом датасете apartments.csv, содержащем 2000 записей о квартирах Екатеринбурга с годами постройки в диапазоне 1950–2024. После очистки данных (удаления 35 строк с пропуском года постройки, 39 строк с пропуском цены, а также аномальных значений year_built = 0 и price = −1) в выборке осталось около 1930 квартир. Группировка по году постройки с агрегацией средней цены и последующее построение графика дали следующий результат:</w:t>
      </w:r>
    </w:p>
    <w:p>
      <w:pPr>
        <w:spacing w:after="240" w:before="240"/>
        <w:jc w:val="center"/>
      </w:pPr>
      <w:r>
        <w:drawing>
          <wp:inline distT="0" distB="0" distL="0" distR="0">
            <wp:extent cx="5143500" cy="25717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40"/>
        <w:jc w:val="center"/>
      </w:pPr>
      <w:r>
        <w:rPr>
          <w:rFonts w:ascii="Times New Roman" w:cs="Times New Roman" w:eastAsia="Times New Roman" w:hAnsi="Times New Roman"/>
          <w:i/>
          <w:iCs/>
          <w:sz w:val="24"/>
          <w:szCs w:val="24"/>
        </w:rPr>
        <w:t xml:space="preserve">Рисунок 1 — Зависимость средней цены квартиры от года постройки (apartments.csv, 2000 записей)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Анализ графика подтверждает корректность работы программы и выявляет содержательную закономерность: средняя цена квартиры монотонно возрастает с увеличением года постройки. Старый жилищный фонд 1950–1970-х годов имеет среднюю цену в районе 4,5–6,5 млн рублей; квартиры 1980–2000-х годов — около 6–8 млн рублей; современные новостройки 2010–2024 годов — от 9 до 11,5 млн рублей. Заметные локальные колебания между соседними годами объясняются ограниченным числом наблюдений в каждой группе и индивидуальными характеристиками конкретных домов (площадь, этажность, расположение в выборке), что подчёркивает необходимость дополнительной обработки данных при детальном анализе — например, сглаживания скользящим средним или агрегации по десятилетиям, рассмотренной в разделе 3.7.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3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Для построения линейного графика средней цены квартиры от года постройки достаточно двух библиотек языка Python: pandas (для работы с табличными данными) и matplotlib (для визуализации), устанавливаемых одной командой pip. Программа состоит из четырёх логических шагов: загрузка CSV, очистка данных от пропусков и аномалий, группировка по year_built с агрегацией по среднему значению цены и построение графика с подписанными осями, заголовком и сеткой. Работоспособность программы подтверждена запуском на тестовом датасете из 2000 квартир: получен корректный график, отражающий ожидаемую закономерность роста средней цены с увеличением года постройки. Алгоритм легко расширяется — добавлением сглаживания, доверительного интервала, разделения по типам квартир или переходом на интерактивную визуализацию в plotly.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701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Times New Roman" w:cs="Times New Roman" w:eastAsia="Times New Roman" w:hAnsi="Times New Roman"/>
        <w:sz w:val="22"/>
        <w:szCs w:val="22"/>
      </w:rPr>
      <w:t xml:space="preserve">Стр. </w:t>
      <w:fldChar w:fldCharType="begin"/>
      <w:instrText xml:space="preserve">PAGE</w:instrText>
      <w:fldChar w:fldCharType="separate"/>
      <w:fldChar w:fldCharType="end"/>
      <w:t xml:space="preserve"> из </w:t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Times New Roman" w:cs="Times New Roman" w:eastAsia="Times New Roman" w:hAnsi="Times New Roman"/>
        <w:i/>
        <w:iCs/>
        <w:sz w:val="22"/>
        <w:szCs w:val="22"/>
      </w:rPr>
      <w:t xml:space="preserve">Билет №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8"/>
        <w:szCs w:val="28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 w:line="360"/>
      <w:jc w:val="center"/>
      <w:outlineLvl w:val="0"/>
    </w:pPr>
    <w:rPr>
      <w:rFonts w:ascii="Times New Roman" w:cs="Times New Roman" w:eastAsia="Times New Roman" w:hAnsi="Times New Roman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300" w:line="360"/>
      <w:outlineLvl w:val="1"/>
    </w:pPr>
    <w:rPr>
      <w:rFonts w:ascii="Times New Roman" w:cs="Times New Roman" w:eastAsia="Times New Roman" w:hAnsi="Times New Roman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spacing w:after="120" w:before="240" w:line="360"/>
      <w:outlineLvl w:val="2"/>
    </w:pPr>
    <w:rPr>
      <w:rFonts w:ascii="Times New Roman" w:cs="Times New Roman" w:eastAsia="Times New Roman" w:hAnsi="Times New Roman"/>
      <w:b/>
      <w:bCs/>
      <w:i/>
      <w:iCs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3dcb47f163d7d6ac862848978f9be5064a9e9322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2026-05-26T14:22:52.295Z</dcterms:created>
  <dcterms:modified xsi:type="dcterms:W3CDTF">2026-05-26T14:22:52.296Z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