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0" w:before="1200"/>
        <w:jc w:val="center"/>
      </w:pPr>
      <w:r>
        <w:rPr>
          <w:rFonts w:ascii="Times New Roman" w:cs="Times New Roman" w:eastAsia="Times New Roman" w:hAnsi="Times New Roman"/>
          <w:b/>
          <w:bCs/>
          <w:sz w:val="24"/>
          <w:szCs w:val="24"/>
        </w:rPr>
        <w:t xml:space="preserve">Министерство цифрового развития, связи и массовых коммуникаций</w:t>
      </w:r>
    </w:p>
    <w:p>
      <w:pPr>
        <w:spacing w:after="200"/>
        <w:jc w:val="center"/>
      </w:pPr>
      <w:r>
        <w:rPr>
          <w:rFonts w:ascii="Times New Roman" w:cs="Times New Roman" w:eastAsia="Times New Roman" w:hAnsi="Times New Roman"/>
          <w:b/>
          <w:bCs/>
          <w:sz w:val="24"/>
          <w:szCs w:val="24"/>
        </w:rPr>
        <w:t xml:space="preserve">Российской Федерации</w:t>
      </w:r>
    </w:p>
    <w:p>
      <w:pPr>
        <w:spacing w:after="200"/>
        <w:jc w:val="center"/>
      </w:pPr>
      <w:r>
        <w:rPr>
          <w:rFonts w:ascii="Times New Roman" w:cs="Times New Roman" w:eastAsia="Times New Roman" w:hAnsi="Times New Roman"/>
          <w:sz w:val="24"/>
          <w:szCs w:val="24"/>
        </w:rPr>
        <w:t xml:space="preserve">ФГБОУ ВО «Сибирский государственный университет телекоммуникаций и информатики»</w:t>
      </w:r>
    </w:p>
    <w:p>
      <w:pPr>
        <w:spacing w:after="1000"/>
        <w:jc w:val="center"/>
      </w:pPr>
      <w:r>
        <w:rPr>
          <w:rFonts w:ascii="Times New Roman" w:cs="Times New Roman" w:eastAsia="Times New Roman" w:hAnsi="Times New Roman"/>
          <w:sz w:val="24"/>
          <w:szCs w:val="24"/>
        </w:rPr>
        <w:t xml:space="preserve">Уральский технический институт связи и информатики (УрТИСИ СибГУТИ)</w:t>
      </w:r>
    </w:p>
    <w:p>
      <w:pPr>
        <w:spacing w:after="200"/>
        <w:jc w:val="center"/>
      </w:pPr>
      <w:r>
        <w:rPr>
          <w:rFonts w:ascii="Times New Roman" w:cs="Times New Roman" w:eastAsia="Times New Roman" w:hAnsi="Times New Roman"/>
          <w:b/>
          <w:bCs/>
          <w:sz w:val="36"/>
          <w:szCs w:val="36"/>
        </w:rPr>
        <w:t xml:space="preserve">ОТВЕТЫ НА ЭКЗАМЕНАЦИОННЫЙ БИЛЕТ № 4</w:t>
      </w:r>
    </w:p>
    <w:p>
      <w:pPr>
        <w:spacing w:after="400"/>
        <w:jc w:val="center"/>
      </w:pPr>
      <w:r>
        <w:rPr>
          <w:rFonts w:ascii="Times New Roman" w:cs="Times New Roman" w:eastAsia="Times New Roman" w:hAnsi="Times New Roman"/>
          <w:i/>
          <w:iCs/>
          <w:sz w:val="26"/>
          <w:szCs w:val="26"/>
        </w:rPr>
        <w:t xml:space="preserve">Итоговый государственный междисциплинарный экзамен</w:t>
      </w:r>
    </w:p>
    <w:p>
      <w:pPr>
        <w:spacing w:after="200"/>
        <w:jc w:val="center"/>
      </w:pPr>
      <w:r>
        <w:rPr>
          <w:rFonts w:ascii="Times New Roman" w:cs="Times New Roman" w:eastAsia="Times New Roman" w:hAnsi="Times New Roman"/>
          <w:sz w:val="26"/>
          <w:szCs w:val="26"/>
        </w:rPr>
        <w:t xml:space="preserve">Направление подготовки 09.04.01 «Информатика и вычислительная техника»</w:t>
      </w:r>
    </w:p>
    <w:p>
      <w:pPr>
        <w:spacing w:after="800"/>
        <w:jc w:val="center"/>
      </w:pPr>
      <w:r>
        <w:rPr>
          <w:rFonts w:ascii="Times New Roman" w:cs="Times New Roman" w:eastAsia="Times New Roman" w:hAnsi="Times New Roman"/>
          <w:sz w:val="26"/>
          <w:szCs w:val="26"/>
        </w:rPr>
        <w:t xml:space="preserve">Профиль: «Инженерия программного обеспечения и информационных систем»</w:t>
      </w:r>
    </w:p>
    <w:p>
      <w:pPr>
        <w:spacing w:after="240" w:before="600"/>
      </w:pPr>
      <w:r>
        <w:rPr>
          <w:rFonts w:ascii="Times New Roman" w:cs="Times New Roman" w:eastAsia="Times New Roman" w:hAnsi="Times New Roman"/>
          <w:b/>
          <w:bCs/>
          <w:sz w:val="28"/>
          <w:szCs w:val="28"/>
        </w:rPr>
        <w:t xml:space="preserve">Вопросы билета:</w:t>
      </w:r>
    </w:p>
    <w:p>
      <w:pPr>
        <w:spacing w:after="120"/>
        <w:ind w:firstLine="720"/>
        <w:jc w:val="both"/>
      </w:pPr>
      <w:r>
        <w:rPr>
          <w:rFonts w:ascii="Times New Roman" w:cs="Times New Roman" w:eastAsia="Times New Roman" w:hAnsi="Times New Roman"/>
          <w:sz w:val="28"/>
          <w:szCs w:val="28"/>
        </w:rPr>
        <w:t xml:space="preserve">1. Системы управления проектами.</w:t>
      </w:r>
    </w:p>
    <w:p>
      <w:pPr>
        <w:spacing w:after="120"/>
        <w:ind w:firstLine="720"/>
        <w:jc w:val="both"/>
      </w:pPr>
      <w:r>
        <w:rPr>
          <w:rFonts w:ascii="Times New Roman" w:cs="Times New Roman" w:eastAsia="Times New Roman" w:hAnsi="Times New Roman"/>
          <w:sz w:val="28"/>
          <w:szCs w:val="28"/>
        </w:rPr>
        <w:t xml:space="preserve">2. Технические и технологические проблемы информатизации общества.</w:t>
      </w:r>
    </w:p>
    <w:p>
      <w:pPr>
        <w:spacing w:after="120"/>
        <w:ind w:firstLine="720"/>
        <w:jc w:val="both"/>
      </w:pPr>
      <w:r>
        <w:rPr>
          <w:rFonts w:ascii="Times New Roman" w:cs="Times New Roman" w:eastAsia="Times New Roman" w:hAnsi="Times New Roman"/>
          <w:sz w:val="28"/>
          <w:szCs w:val="28"/>
        </w:rPr>
        <w:t xml:space="preserve">3. Спроектируйте архитектуру согласно нотации С4 для системы дистанционного обучения. Отобразите уровни контекста, контейнеров и компонентов.</w:t>
      </w:r>
    </w:p>
    <w:p>
      <w:r>
        <w:br w:type="page"/>
      </w:r>
    </w:p>
    <w:p>
      <w:pPr>
        <w:pStyle w:val="Heading1"/>
        <w:spacing w:after="240" w:before="360" w:line="360"/>
        <w:jc w:val="center"/>
      </w:pPr>
      <w:r>
        <w:rPr>
          <w:rFonts w:ascii="Times New Roman" w:cs="Times New Roman" w:eastAsia="Times New Roman" w:hAnsi="Times New Roman"/>
          <w:b/>
          <w:bCs/>
          <w:sz w:val="32"/>
          <w:szCs w:val="32"/>
        </w:rPr>
        <w:t xml:space="preserve">Вопрос 1. Системы управления проектами</w:t>
      </w:r>
    </w:p>
    <w:p>
      <w:pPr>
        <w:pStyle w:val="Heading2"/>
        <w:spacing w:after="180" w:before="300" w:line="360"/>
      </w:pPr>
      <w:r>
        <w:rPr>
          <w:rFonts w:ascii="Times New Roman" w:cs="Times New Roman" w:eastAsia="Times New Roman" w:hAnsi="Times New Roman"/>
          <w:b/>
          <w:bCs/>
          <w:sz w:val="30"/>
          <w:szCs w:val="30"/>
        </w:rPr>
        <w:t xml:space="preserve">1.1. Понятие системы управления проектами</w:t>
      </w:r>
    </w:p>
    <w:p>
      <w:pPr>
        <w:spacing w:after="120" w:line="360"/>
        <w:ind w:firstLine="720"/>
        <w:jc w:val="both"/>
      </w:pPr>
      <w:r>
        <w:rPr>
          <w:rFonts w:ascii="Times New Roman" w:cs="Times New Roman" w:eastAsia="Times New Roman" w:hAnsi="Times New Roman"/>
          <w:sz w:val="28"/>
          <w:szCs w:val="28"/>
        </w:rPr>
        <w:t xml:space="preserve">Система управления проектами (СУП; англ. Project Management System, PMS) — это программный комплекс, предназначенный для автоматизации процессов планирования, исполнения, контроля и завершения проектов. Под проектом в современной трактовке (стандарт PMBoK 7-го издания, ISO 21500) понимают временное предприятие, направленное на создание уникального продукта, услуги или результата в условиях ограниченности ресурсов и времени. Управление проектом включает применение знаний, навыков, инструментов и методов к работам по проекту для удовлетворения требований заинтересованных сторон.</w:t>
      </w:r>
    </w:p>
    <w:p>
      <w:pPr>
        <w:spacing w:after="120" w:line="360"/>
        <w:ind w:firstLine="720"/>
        <w:jc w:val="both"/>
      </w:pPr>
      <w:r>
        <w:rPr>
          <w:rFonts w:ascii="Times New Roman" w:cs="Times New Roman" w:eastAsia="Times New Roman" w:hAnsi="Times New Roman"/>
          <w:sz w:val="28"/>
          <w:szCs w:val="28"/>
        </w:rPr>
        <w:t xml:space="preserve">СУП обеспечивает информационную поддержку всех этих процессов: позволяет вести план-график, отслеживать прогресс задач, контролировать загруженность исполнителей и расходование бюджета, документировать решения и обеспечивать коммуникацию между участниками проекта. Современные СУП являются ключевым инструментом проектного офиса (Project Management Office, PMO) и поддерживают работу как одного небольшого проекта, так и портфеля из сотен параллельных инициатив крупной корпорации.</w:t>
      </w:r>
    </w:p>
    <w:p>
      <w:pPr>
        <w:pStyle w:val="Heading2"/>
        <w:spacing w:after="180" w:before="300" w:line="360"/>
      </w:pPr>
      <w:r>
        <w:rPr>
          <w:rFonts w:ascii="Times New Roman" w:cs="Times New Roman" w:eastAsia="Times New Roman" w:hAnsi="Times New Roman"/>
          <w:b/>
          <w:bCs/>
          <w:sz w:val="30"/>
          <w:szCs w:val="30"/>
        </w:rPr>
        <w:t xml:space="preserve">1.2. Основные функции систем управления проектами</w:t>
      </w:r>
    </w:p>
    <w:p>
      <w:pPr>
        <w:spacing w:after="120" w:line="360"/>
        <w:ind w:firstLine="720"/>
        <w:jc w:val="both"/>
      </w:pPr>
      <w:r>
        <w:rPr>
          <w:rFonts w:ascii="Times New Roman" w:cs="Times New Roman" w:eastAsia="Times New Roman" w:hAnsi="Times New Roman"/>
          <w:sz w:val="28"/>
          <w:szCs w:val="28"/>
        </w:rPr>
        <w:t xml:space="preserve">Зрелая СУП реализует следующий набор функций:</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Планирование и декомпозиция работ. </w:t>
      </w:r>
      <w:r>
        <w:rPr>
          <w:rFonts w:ascii="Times New Roman" w:cs="Times New Roman" w:eastAsia="Times New Roman" w:hAnsi="Times New Roman"/>
          <w:sz w:val="28"/>
          <w:szCs w:val="28"/>
        </w:rPr>
        <w:t xml:space="preserve">Построение иерархической структуры работ (Work Breakdown Structure, WBS), декомпозиция крупных задач на подзадачи, определение зависимостей между задачами (предшественник-преемник);</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Управление сроками. </w:t>
      </w:r>
      <w:r>
        <w:rPr>
          <w:rFonts w:ascii="Times New Roman" w:cs="Times New Roman" w:eastAsia="Times New Roman" w:hAnsi="Times New Roman"/>
          <w:sz w:val="28"/>
          <w:szCs w:val="28"/>
        </w:rPr>
        <w:t xml:space="preserve">Построение диаграмм Ганта, расчёт критического пути (Critical Path Method, CPM), определение базовых планов (baseline), отслеживание отклонений от графика;</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Управление задачами. </w:t>
      </w:r>
      <w:r>
        <w:rPr>
          <w:rFonts w:ascii="Times New Roman" w:cs="Times New Roman" w:eastAsia="Times New Roman" w:hAnsi="Times New Roman"/>
          <w:sz w:val="28"/>
          <w:szCs w:val="28"/>
        </w:rPr>
        <w:t xml:space="preserve">Создание, назначение и отслеживание задач (tickets / issues); канбан-доски с состояниями «Todo / In Progress / Review / Done»; задачи имеют приоритет, сроки, метки, исполнителей, комментарии;</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Управление ресурсами. </w:t>
      </w:r>
      <w:r>
        <w:rPr>
          <w:rFonts w:ascii="Times New Roman" w:cs="Times New Roman" w:eastAsia="Times New Roman" w:hAnsi="Times New Roman"/>
          <w:sz w:val="28"/>
          <w:szCs w:val="28"/>
        </w:rPr>
        <w:t xml:space="preserve">Учёт людских ресурсов с их загрузкой, навыками, занятостью; материальные и финансовые ресурсы; выявление перегрузок и конфликтов ресурсов;</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Управление бюджетом. </w:t>
      </w:r>
      <w:r>
        <w:rPr>
          <w:rFonts w:ascii="Times New Roman" w:cs="Times New Roman" w:eastAsia="Times New Roman" w:hAnsi="Times New Roman"/>
          <w:sz w:val="28"/>
          <w:szCs w:val="28"/>
        </w:rPr>
        <w:t xml:space="preserve">Планирование стоимости работ; учёт фактических затрат; метод освоенного объёма (Earned Value Management, EVM) с показателями SPI и CPI;</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Управление документами. </w:t>
      </w:r>
      <w:r>
        <w:rPr>
          <w:rFonts w:ascii="Times New Roman" w:cs="Times New Roman" w:eastAsia="Times New Roman" w:hAnsi="Times New Roman"/>
          <w:sz w:val="28"/>
          <w:szCs w:val="28"/>
        </w:rPr>
        <w:t xml:space="preserve">Хранение технической документации, спецификаций, протоколов, контрактов; версионирование; права доступа;</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Управление коммуникациями. </w:t>
      </w:r>
      <w:r>
        <w:rPr>
          <w:rFonts w:ascii="Times New Roman" w:cs="Times New Roman" w:eastAsia="Times New Roman" w:hAnsi="Times New Roman"/>
          <w:sz w:val="28"/>
          <w:szCs w:val="28"/>
        </w:rPr>
        <w:t xml:space="preserve">Встроенные чаты, комментарии к задачам, упоминания (@mentions), интеграции с почтой, мессенджерами (Slack, Microsoft Teams, Telegram, Mattermost);</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Управление рисками. </w:t>
      </w:r>
      <w:r>
        <w:rPr>
          <w:rFonts w:ascii="Times New Roman" w:cs="Times New Roman" w:eastAsia="Times New Roman" w:hAnsi="Times New Roman"/>
          <w:sz w:val="28"/>
          <w:szCs w:val="28"/>
        </w:rPr>
        <w:t xml:space="preserve">Реестр рисков с оценкой вероятности и влияния; матрица рисков; планы реагирования (mitigation, transfer, avoidance, acceptance);</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Отчётность и аналитика. </w:t>
      </w:r>
      <w:r>
        <w:rPr>
          <w:rFonts w:ascii="Times New Roman" w:cs="Times New Roman" w:eastAsia="Times New Roman" w:hAnsi="Times New Roman"/>
          <w:sz w:val="28"/>
          <w:szCs w:val="28"/>
        </w:rPr>
        <w:t xml:space="preserve">Дашборды состояния проекта; burn-down и burn-up диаграммы; cumulative flow diagram (CFD); velocity команды; cycle time, lead time; кастомизируемые отчёты;</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Интеграции и API. </w:t>
      </w:r>
      <w:r>
        <w:rPr>
          <w:rFonts w:ascii="Times New Roman" w:cs="Times New Roman" w:eastAsia="Times New Roman" w:hAnsi="Times New Roman"/>
          <w:sz w:val="28"/>
          <w:szCs w:val="28"/>
        </w:rPr>
        <w:t xml:space="preserve">Подключение к Git (GitHub, GitLab, Bitbucket), CI/CD-системам, IDE, корпоративным каталогам пользователей (LDAP, Active Directory), системам бухгалтерии.</w:t>
      </w:r>
    </w:p>
    <w:p>
      <w:pPr>
        <w:pStyle w:val="Heading2"/>
        <w:spacing w:after="180" w:before="300" w:line="360"/>
      </w:pPr>
      <w:r>
        <w:rPr>
          <w:rFonts w:ascii="Times New Roman" w:cs="Times New Roman" w:eastAsia="Times New Roman" w:hAnsi="Times New Roman"/>
          <w:b/>
          <w:bCs/>
          <w:sz w:val="30"/>
          <w:szCs w:val="30"/>
        </w:rPr>
        <w:t xml:space="preserve">1.3. Методологии управления проектами</w:t>
      </w:r>
    </w:p>
    <w:p>
      <w:pPr>
        <w:spacing w:after="120" w:line="360"/>
        <w:ind w:firstLine="720"/>
        <w:jc w:val="both"/>
      </w:pPr>
      <w:r>
        <w:rPr>
          <w:rFonts w:ascii="Times New Roman" w:cs="Times New Roman" w:eastAsia="Times New Roman" w:hAnsi="Times New Roman"/>
          <w:sz w:val="28"/>
          <w:szCs w:val="28"/>
        </w:rPr>
        <w:t xml:space="preserve">Каждая система управления проектами реализует одну или несколько методологий. Современные СУП обычно поддерживают гибридный подход и могут конфигурироваться под нужную методологию. Обзор основных методологий приведён в таблице.</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3160"/>
        <w:gridCol w:w="4000"/>
      </w:tblGrid>
      <w:tr>
        <w:trPr>
          <w:tblHeader/>
        </w:trPr>
        <w:tc>
          <w:tcPr>
            <w:tcW w:type="dxa" w:w="0"/>
            <w:tcBorders>
              <w:top w:val="single" w:color="888888" w:sz="4"/>
              <w:left w:val="single" w:color="888888" w:sz="4"/>
              <w:bottom w:val="single" w:color="888888" w:sz="4"/>
              <w:right w:val="single" w:color="888888" w:sz="4"/>
            </w:tcBorders>
            <w:shd w:fill="D9E2F3" w:val="clear"/>
            <w:tcMar>
              <w:top w:type="dxa" w:w="80"/>
              <w:left w:type="dxa" w:w="120"/>
              <w:bottom w:type="dxa" w:w="80"/>
              <w:right w:type="dxa" w:w="120"/>
            </w:tcMar>
          </w:tcPr>
          <w:p>
            <w:pPr>
              <w:jc w:val="center"/>
            </w:pPr>
            <w:r>
              <w:rPr>
                <w:rFonts w:ascii="Times New Roman" w:cs="Times New Roman" w:eastAsia="Times New Roman" w:hAnsi="Times New Roman"/>
                <w:b/>
                <w:bCs/>
                <w:sz w:val="26"/>
                <w:szCs w:val="26"/>
              </w:rPr>
              <w:t xml:space="preserve">Методология</w:t>
            </w:r>
          </w:p>
        </w:tc>
        <w:tc>
          <w:tcPr>
            <w:tcW w:type="dxa" w:w="0"/>
            <w:tcBorders>
              <w:top w:val="single" w:color="888888" w:sz="4"/>
              <w:left w:val="single" w:color="888888" w:sz="4"/>
              <w:bottom w:val="single" w:color="888888" w:sz="4"/>
              <w:right w:val="single" w:color="888888" w:sz="4"/>
            </w:tcBorders>
            <w:shd w:fill="D9E2F3" w:val="clear"/>
            <w:tcMar>
              <w:top w:type="dxa" w:w="80"/>
              <w:left w:type="dxa" w:w="120"/>
              <w:bottom w:type="dxa" w:w="80"/>
              <w:right w:type="dxa" w:w="120"/>
            </w:tcMar>
          </w:tcPr>
          <w:p>
            <w:pPr>
              <w:jc w:val="center"/>
            </w:pPr>
            <w:r>
              <w:rPr>
                <w:rFonts w:ascii="Times New Roman" w:cs="Times New Roman" w:eastAsia="Times New Roman" w:hAnsi="Times New Roman"/>
                <w:b/>
                <w:bCs/>
                <w:sz w:val="26"/>
                <w:szCs w:val="26"/>
              </w:rPr>
              <w:t xml:space="preserve">Подход</w:t>
            </w:r>
          </w:p>
        </w:tc>
        <w:tc>
          <w:tcPr>
            <w:tcW w:type="dxa" w:w="0"/>
            <w:tcBorders>
              <w:top w:val="single" w:color="888888" w:sz="4"/>
              <w:left w:val="single" w:color="888888" w:sz="4"/>
              <w:bottom w:val="single" w:color="888888" w:sz="4"/>
              <w:right w:val="single" w:color="888888" w:sz="4"/>
            </w:tcBorders>
            <w:shd w:fill="D9E2F3" w:val="clear"/>
            <w:tcMar>
              <w:top w:type="dxa" w:w="80"/>
              <w:left w:type="dxa" w:w="120"/>
              <w:bottom w:type="dxa" w:w="80"/>
              <w:right w:type="dxa" w:w="120"/>
            </w:tcMar>
          </w:tcPr>
          <w:p>
            <w:pPr>
              <w:jc w:val="center"/>
            </w:pPr>
            <w:r>
              <w:rPr>
                <w:rFonts w:ascii="Times New Roman" w:cs="Times New Roman" w:eastAsia="Times New Roman" w:hAnsi="Times New Roman"/>
                <w:b/>
                <w:bCs/>
                <w:sz w:val="26"/>
                <w:szCs w:val="26"/>
              </w:rPr>
              <w:t xml:space="preserve">Применение</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Waterfall (каскад)</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Жёсткая последовательность фаз</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Госконтракты, инфраструктура, регулируемые отрасли</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Agile / Scrum</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Итеративная разработка спринтами 1–4 недели</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Продуктовая разработка, стартапы</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Kanban</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Непрерывный поток, ограничение WIP</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Поддержка, DevOps, потоковые задачи</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PRINCE2</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Структурированный подход с фокусом на бизнес-кейс</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Государственный сектор Великобритании</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PMBoK (PMI)</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Свод знаний; 10 областей знаний</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Корпоративные проекты; международная сертификация</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Hybrid (Wagile)</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Сочетание Waterfall и Agile</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Корпоративные проекты со смешанными требованиями</w:t>
            </w:r>
          </w:p>
        </w:tc>
      </w:tr>
    </w:tbl>
    <w:p>
      <w:pPr>
        <w:spacing w:after="120"/>
      </w:pPr>
      <w:r>
        <w:rPr>
          <w:rFonts w:ascii="Times New Roman" w:cs="Times New Roman" w:eastAsia="Times New Roman" w:hAnsi="Times New Roman"/>
          <w:sz w:val="28"/>
          <w:szCs w:val="28"/>
        </w:rPr>
        <w:t xml:space="preserve"/>
      </w:r>
    </w:p>
    <w:p>
      <w:pPr>
        <w:spacing w:after="120" w:line="360"/>
        <w:ind w:firstLine="720"/>
        <w:jc w:val="both"/>
      </w:pPr>
      <w:r>
        <w:rPr>
          <w:rFonts w:ascii="Times New Roman" w:cs="Times New Roman" w:eastAsia="Times New Roman" w:hAnsi="Times New Roman"/>
          <w:sz w:val="28"/>
          <w:szCs w:val="28"/>
        </w:rPr>
        <w:t xml:space="preserve">На практике наиболее распространены: для разработки программного обеспечения — Scrum (короткие итерации-спринты, фиксированный набор ролей: Product Owner, Scrum Master, Development Team) или Kanban (непрерывный поток, ограничение незавершённой работы — WIP-лимит); для крупных корпоративных и государственных проектов — Waterfall или гибридные модели с фазами «исследование — проектирование — реализация — тестирование — внедрение».</w:t>
      </w:r>
    </w:p>
    <w:p>
      <w:pPr>
        <w:pStyle w:val="Heading2"/>
        <w:spacing w:after="180" w:before="300" w:line="360"/>
      </w:pPr>
      <w:r>
        <w:rPr>
          <w:rFonts w:ascii="Times New Roman" w:cs="Times New Roman" w:eastAsia="Times New Roman" w:hAnsi="Times New Roman"/>
          <w:b/>
          <w:bCs/>
          <w:sz w:val="30"/>
          <w:szCs w:val="30"/>
        </w:rPr>
        <w:t xml:space="preserve">1.4. Классификация и обзор существующих систем</w:t>
      </w:r>
    </w:p>
    <w:p>
      <w:pPr>
        <w:spacing w:after="120" w:line="360"/>
        <w:ind w:firstLine="720"/>
        <w:jc w:val="both"/>
      </w:pPr>
      <w:r>
        <w:rPr>
          <w:rFonts w:ascii="Times New Roman" w:cs="Times New Roman" w:eastAsia="Times New Roman" w:hAnsi="Times New Roman"/>
          <w:sz w:val="28"/>
          <w:szCs w:val="28"/>
        </w:rPr>
        <w:t xml:space="preserve">По способу развёртывания и происхождению СУП можно классифицировать на десктопные, облачные (SaaS), self-hosted (устанавливаемые на собственных серверах) и российские решения. В условиях программы импортозамещения и ограниченного доступа к ряду зарубежных сервисов после 2022 года для российских организаций особо актуальны отечественные системы, внесённые в Единый реестр российского ПО Минцифры.</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900"/>
        <w:gridCol w:w="2300"/>
        <w:gridCol w:w="5160"/>
      </w:tblGrid>
      <w:tr>
        <w:trPr>
          <w:tblHeader/>
        </w:trPr>
        <w:tc>
          <w:tcPr>
            <w:tcW w:type="dxa" w:w="0"/>
            <w:tcBorders>
              <w:top w:val="single" w:color="888888" w:sz="4"/>
              <w:left w:val="single" w:color="888888" w:sz="4"/>
              <w:bottom w:val="single" w:color="888888" w:sz="4"/>
              <w:right w:val="single" w:color="888888" w:sz="4"/>
            </w:tcBorders>
            <w:shd w:fill="D9E2F3" w:val="clear"/>
            <w:tcMar>
              <w:top w:type="dxa" w:w="80"/>
              <w:left w:type="dxa" w:w="120"/>
              <w:bottom w:type="dxa" w:w="80"/>
              <w:right w:type="dxa" w:w="120"/>
            </w:tcMar>
          </w:tcPr>
          <w:p>
            <w:pPr>
              <w:jc w:val="center"/>
            </w:pPr>
            <w:r>
              <w:rPr>
                <w:rFonts w:ascii="Times New Roman" w:cs="Times New Roman" w:eastAsia="Times New Roman" w:hAnsi="Times New Roman"/>
                <w:b/>
                <w:bCs/>
                <w:sz w:val="26"/>
                <w:szCs w:val="26"/>
              </w:rPr>
              <w:t xml:space="preserve">Категория</w:t>
            </w:r>
          </w:p>
        </w:tc>
        <w:tc>
          <w:tcPr>
            <w:tcW w:type="dxa" w:w="0"/>
            <w:tcBorders>
              <w:top w:val="single" w:color="888888" w:sz="4"/>
              <w:left w:val="single" w:color="888888" w:sz="4"/>
              <w:bottom w:val="single" w:color="888888" w:sz="4"/>
              <w:right w:val="single" w:color="888888" w:sz="4"/>
            </w:tcBorders>
            <w:shd w:fill="D9E2F3" w:val="clear"/>
            <w:tcMar>
              <w:top w:type="dxa" w:w="80"/>
              <w:left w:type="dxa" w:w="120"/>
              <w:bottom w:type="dxa" w:w="80"/>
              <w:right w:type="dxa" w:w="120"/>
            </w:tcMar>
          </w:tcPr>
          <w:p>
            <w:pPr>
              <w:jc w:val="center"/>
            </w:pPr>
            <w:r>
              <w:rPr>
                <w:rFonts w:ascii="Times New Roman" w:cs="Times New Roman" w:eastAsia="Times New Roman" w:hAnsi="Times New Roman"/>
                <w:b/>
                <w:bCs/>
                <w:sz w:val="26"/>
                <w:szCs w:val="26"/>
              </w:rPr>
              <w:t xml:space="preserve">Система</w:t>
            </w:r>
          </w:p>
        </w:tc>
        <w:tc>
          <w:tcPr>
            <w:tcW w:type="dxa" w:w="0"/>
            <w:tcBorders>
              <w:top w:val="single" w:color="888888" w:sz="4"/>
              <w:left w:val="single" w:color="888888" w:sz="4"/>
              <w:bottom w:val="single" w:color="888888" w:sz="4"/>
              <w:right w:val="single" w:color="888888" w:sz="4"/>
            </w:tcBorders>
            <w:shd w:fill="D9E2F3" w:val="clear"/>
            <w:tcMar>
              <w:top w:type="dxa" w:w="80"/>
              <w:left w:type="dxa" w:w="120"/>
              <w:bottom w:type="dxa" w:w="80"/>
              <w:right w:type="dxa" w:w="120"/>
            </w:tcMar>
          </w:tcPr>
          <w:p>
            <w:pPr>
              <w:jc w:val="center"/>
            </w:pPr>
            <w:r>
              <w:rPr>
                <w:rFonts w:ascii="Times New Roman" w:cs="Times New Roman" w:eastAsia="Times New Roman" w:hAnsi="Times New Roman"/>
                <w:b/>
                <w:bCs/>
                <w:sz w:val="26"/>
                <w:szCs w:val="26"/>
              </w:rPr>
              <w:t xml:space="preserve">Особенности</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Десктоп</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MS Project</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Классика, гантт, ресурсы, базовые планы; платная подписка</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OmniPlan, Merlin</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macOS-альтернативы MS Project</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Облачные SaaS</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Atlassian Jira</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Стандарт для Scrum/Agile, тесная интеграция с Confluence и Git</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Asana, Monday</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Управление задачами с акцентом на UX</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Trello (Kanban)</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Канбан-доски; простота; для небольших команд</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ClickUp, Notion</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Универсальные платформы (задачи + документы + базы)</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Self-hosted</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Redmine</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Open source; Ruby on Rails; широко применяется в РФ</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OpenProject, Taiga</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Open source Scrum / Kanban</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Российские</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Yandex Tracker</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Облачный аналог Jira; интеграция с Яндекс 360</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Kaiten</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Канбан-доски, отечественный продукт; внесён в реестр Минцифры</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Bitrix24 / Мегаплан</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CRM + PM в одной платформе</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Pyrus, Worksection</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Управление задачами и процессами</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ELMA, BPMSoft</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BPM + PM системы корпоративного уровня</w:t>
            </w:r>
          </w:p>
        </w:tc>
      </w:tr>
    </w:tbl>
    <w:p>
      <w:pPr>
        <w:spacing w:after="120"/>
      </w:pPr>
      <w:r>
        <w:rPr>
          <w:rFonts w:ascii="Times New Roman" w:cs="Times New Roman" w:eastAsia="Times New Roman" w:hAnsi="Times New Roman"/>
          <w:sz w:val="28"/>
          <w:szCs w:val="28"/>
        </w:rPr>
        <w:t xml:space="preserve"/>
      </w:r>
    </w:p>
    <w:p>
      <w:pPr>
        <w:pStyle w:val="Heading2"/>
        <w:spacing w:after="180" w:before="300" w:line="360"/>
      </w:pPr>
      <w:r>
        <w:rPr>
          <w:rFonts w:ascii="Times New Roman" w:cs="Times New Roman" w:eastAsia="Times New Roman" w:hAnsi="Times New Roman"/>
          <w:b/>
          <w:bCs/>
          <w:sz w:val="30"/>
          <w:szCs w:val="30"/>
        </w:rPr>
        <w:t xml:space="preserve">1.5. Критерии выбора системы управления проектами</w:t>
      </w:r>
    </w:p>
    <w:p>
      <w:pPr>
        <w:spacing w:after="120" w:line="360"/>
        <w:ind w:firstLine="720"/>
        <w:jc w:val="both"/>
      </w:pPr>
      <w:r>
        <w:rPr>
          <w:rFonts w:ascii="Times New Roman" w:cs="Times New Roman" w:eastAsia="Times New Roman" w:hAnsi="Times New Roman"/>
          <w:sz w:val="28"/>
          <w:szCs w:val="28"/>
        </w:rPr>
        <w:t xml:space="preserve">При выборе СУП руководители проектов и ИТ-департаменты обычно опираются на следующие критерии:</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Размер команды и количество одновременных проектов;</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Методология (Scrum / Kanban / Waterfall / гибрид);</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Поддерживаемые функции (гантт, канбан, дорожные карты, бюджетирование);</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Интеграции с используемой экосистемой (Git, CI/CD, корпоративная почта, BI);</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Возможность кастомизации (workflow, поля, отчёты);</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Безопасность и соответствие требованиям (ФЗ-152, ФЗ-187, GDPR, ISO 27001);</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Включённость в Единый реестр российского ПО (для госсектора это обязательное требование);</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Стоимость владения (TCO) — лицензии, серверы, обслуживание;</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Мобильное приложение и оффлайн-работа;</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Качество поддержки и наличие русскоязычной документации.</w:t>
      </w:r>
    </w:p>
    <w:p>
      <w:pPr>
        <w:pStyle w:val="Heading2"/>
        <w:spacing w:after="180" w:before="300" w:line="360"/>
      </w:pPr>
      <w:r>
        <w:rPr>
          <w:rFonts w:ascii="Times New Roman" w:cs="Times New Roman" w:eastAsia="Times New Roman" w:hAnsi="Times New Roman"/>
          <w:b/>
          <w:bCs/>
          <w:sz w:val="30"/>
          <w:szCs w:val="30"/>
        </w:rPr>
        <w:t xml:space="preserve">1.6. Современные тренды развития СУП</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ИИ-ассистенты. </w:t>
      </w:r>
      <w:r>
        <w:rPr>
          <w:rFonts w:ascii="Times New Roman" w:cs="Times New Roman" w:eastAsia="Times New Roman" w:hAnsi="Times New Roman"/>
          <w:sz w:val="28"/>
          <w:szCs w:val="28"/>
        </w:rPr>
        <w:t xml:space="preserve">Встраивание LLM в СУП для автоматического написания задач, оценки сроков, выявления рисков и составления отчётов (Microsoft 365 Copilot for Project, Asana Intelligence, Atlassian Intelligence);</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DevOps-интеграция. </w:t>
      </w:r>
      <w:r>
        <w:rPr>
          <w:rFonts w:ascii="Times New Roman" w:cs="Times New Roman" w:eastAsia="Times New Roman" w:hAnsi="Times New Roman"/>
          <w:sz w:val="28"/>
          <w:szCs w:val="28"/>
        </w:rPr>
        <w:t xml:space="preserve">Сквозная прослеживаемость от пользовательских историй до коммитов и пайплайнов CI/CD; концепция Value Stream Management;</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OKR и стратегическое планирование. </w:t>
      </w:r>
      <w:r>
        <w:rPr>
          <w:rFonts w:ascii="Times New Roman" w:cs="Times New Roman" w:eastAsia="Times New Roman" w:hAnsi="Times New Roman"/>
          <w:sz w:val="28"/>
          <w:szCs w:val="28"/>
        </w:rPr>
        <w:t xml:space="preserve">Связь оперативных задач со стратегическими целями (Objectives and Key Results); поддержка вкладывается в продукты ClickUp, Lattice, российский Hurma;</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Универсальные платформы. </w:t>
      </w:r>
      <w:r>
        <w:rPr>
          <w:rFonts w:ascii="Times New Roman" w:cs="Times New Roman" w:eastAsia="Times New Roman" w:hAnsi="Times New Roman"/>
          <w:sz w:val="28"/>
          <w:szCs w:val="28"/>
        </w:rPr>
        <w:t xml:space="preserve">Эволюция продуктов в сторону all-in-one решений: документы + задачи + базы данных + чат + видеозвонки (Notion, ClickUp, Yandex 360, Bitrix24);</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Low-code конфигурация. </w:t>
      </w:r>
      <w:r>
        <w:rPr>
          <w:rFonts w:ascii="Times New Roman" w:cs="Times New Roman" w:eastAsia="Times New Roman" w:hAnsi="Times New Roman"/>
          <w:sz w:val="28"/>
          <w:szCs w:val="28"/>
        </w:rPr>
        <w:t xml:space="preserve">Возможность настроить процессы и формы без программирования (ELMA365, Bitrix24).</w:t>
      </w:r>
    </w:p>
    <w:p>
      <w:pPr>
        <w:pStyle w:val="Heading2"/>
        <w:spacing w:after="180" w:before="300" w:line="360"/>
      </w:pPr>
      <w:r>
        <w:rPr>
          <w:rFonts w:ascii="Times New Roman" w:cs="Times New Roman" w:eastAsia="Times New Roman" w:hAnsi="Times New Roman"/>
          <w:b/>
          <w:bCs/>
          <w:sz w:val="30"/>
          <w:szCs w:val="30"/>
        </w:rPr>
        <w:t xml:space="preserve">Выводы по вопросу 1</w:t>
      </w:r>
    </w:p>
    <w:p>
      <w:pPr>
        <w:spacing w:after="120" w:line="360"/>
        <w:ind w:firstLine="720"/>
        <w:jc w:val="both"/>
      </w:pPr>
      <w:r>
        <w:rPr>
          <w:rFonts w:ascii="Times New Roman" w:cs="Times New Roman" w:eastAsia="Times New Roman" w:hAnsi="Times New Roman"/>
          <w:sz w:val="28"/>
          <w:szCs w:val="28"/>
        </w:rPr>
        <w:t xml:space="preserve">Системы управления проектами — это программные комплексы, автоматизирующие процессы планирования, контроля и завершения проектов в соответствии с международными стандартами (PMBoK, ISO 21500). Они реализуют десять ключевых функций: планирование с WBS, управление сроками с диаграммами Ганта и критическим путём, управление задачами, ресурсами, бюджетом, документами, коммуникациями, рисками, аналитика и интеграции. Существуют четыре основные категории систем — десктопные (MS Project), облачные SaaS (Jira, Asana, Monday), self-hosted (Redmine, OpenProject) и российские (Yandex Tracker, Kaiten, Bitrix24, Pyrus, ELMA), причём для отечественных организаций последняя группа особо актуальна благодаря включению в Единый реестр российского ПО. Современный тренд — глубокая интеграция ИИ-ассистентов, DevOps-инструментов и платформенный подход, объединяющий PM, документооборот и коммуникации.</w:t>
      </w:r>
    </w:p>
    <w:p>
      <w:r>
        <w:br w:type="page"/>
      </w:r>
    </w:p>
    <w:p>
      <w:pPr>
        <w:pStyle w:val="Heading1"/>
        <w:spacing w:after="240" w:before="360" w:line="360"/>
        <w:jc w:val="center"/>
      </w:pPr>
      <w:r>
        <w:rPr>
          <w:rFonts w:ascii="Times New Roman" w:cs="Times New Roman" w:eastAsia="Times New Roman" w:hAnsi="Times New Roman"/>
          <w:b/>
          <w:bCs/>
          <w:sz w:val="32"/>
          <w:szCs w:val="32"/>
        </w:rPr>
        <w:t xml:space="preserve">Вопрос 2. Технические и технологические проблемы информатизации общества</w:t>
      </w:r>
    </w:p>
    <w:p>
      <w:pPr>
        <w:pStyle w:val="Heading2"/>
        <w:spacing w:after="180" w:before="300" w:line="360"/>
      </w:pPr>
      <w:r>
        <w:rPr>
          <w:rFonts w:ascii="Times New Roman" w:cs="Times New Roman" w:eastAsia="Times New Roman" w:hAnsi="Times New Roman"/>
          <w:b/>
          <w:bCs/>
          <w:sz w:val="30"/>
          <w:szCs w:val="30"/>
        </w:rPr>
        <w:t xml:space="preserve">2.1. Понятие информатизации общества</w:t>
      </w:r>
    </w:p>
    <w:p>
      <w:pPr>
        <w:spacing w:after="120" w:line="360"/>
        <w:ind w:firstLine="720"/>
        <w:jc w:val="both"/>
      </w:pPr>
      <w:r>
        <w:rPr>
          <w:rFonts w:ascii="Times New Roman" w:cs="Times New Roman" w:eastAsia="Times New Roman" w:hAnsi="Times New Roman"/>
          <w:sz w:val="28"/>
          <w:szCs w:val="28"/>
        </w:rPr>
        <w:t xml:space="preserve">Информатизация общества — это процесс глобального проникновения информационных технологий во все сферы человеческой деятельности: государственное управление, экономику, образование, здравоохранение, культуру, повседневный быт. Концепция информационного общества была сформулирована в трудах японского социолога Юдзиро Хаяси (1969), американского социолога Дэниела Белла («Грядущее постиндустриальное общество», 1973), а в России — в работах А. И. Ракитова и Р. Ф. Абдеева. В РФ информатизация регулируется ФЗ-149 «Об информации, информационных технологиях и о защите информации» (2006), указом Президента «О Стратегии развития информационного общества в Российской Федерации на 2017–2030 годы» и национальным проектом «Цифровая экономика».</w:t>
      </w:r>
    </w:p>
    <w:p>
      <w:pPr>
        <w:spacing w:after="120" w:line="360"/>
        <w:ind w:firstLine="720"/>
        <w:jc w:val="both"/>
      </w:pPr>
      <w:r>
        <w:rPr>
          <w:rFonts w:ascii="Times New Roman" w:cs="Times New Roman" w:eastAsia="Times New Roman" w:hAnsi="Times New Roman"/>
          <w:sz w:val="28"/>
          <w:szCs w:val="28"/>
        </w:rPr>
        <w:t xml:space="preserve">При очевидных преимуществах информатизация порождает целый комплекс проблем, которые традиционно разделяют на четыре группы: социальные, правовые, экономические и технико-технологические. Настоящий вопрос посвящён именно технико-технологическим проблемам — то есть тем, которые связаны с самой природой используемых ИТ-инфраструктур, программных систем и аппаратных средств.</w:t>
      </w:r>
    </w:p>
    <w:p>
      <w:pPr>
        <w:pStyle w:val="Heading2"/>
        <w:spacing w:after="180" w:before="300" w:line="360"/>
      </w:pPr>
      <w:r>
        <w:rPr>
          <w:rFonts w:ascii="Times New Roman" w:cs="Times New Roman" w:eastAsia="Times New Roman" w:hAnsi="Times New Roman"/>
          <w:b/>
          <w:bCs/>
          <w:sz w:val="30"/>
          <w:szCs w:val="30"/>
        </w:rPr>
        <w:t xml:space="preserve">2.2. Различие технических и технологических проблем</w:t>
      </w:r>
    </w:p>
    <w:p>
      <w:pPr>
        <w:spacing w:after="120" w:line="360"/>
        <w:ind w:firstLine="720"/>
        <w:jc w:val="both"/>
      </w:pPr>
      <w:r>
        <w:rPr>
          <w:rFonts w:ascii="Times New Roman" w:cs="Times New Roman" w:eastAsia="Times New Roman" w:hAnsi="Times New Roman"/>
          <w:sz w:val="28"/>
          <w:szCs w:val="28"/>
        </w:rPr>
        <w:t xml:space="preserve">Для системного изложения целесообразно различать два класса проблем:</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Технические проблемы </w:t>
      </w:r>
      <w:r>
        <w:rPr>
          <w:rFonts w:ascii="Times New Roman" w:cs="Times New Roman" w:eastAsia="Times New Roman" w:hAnsi="Times New Roman"/>
          <w:sz w:val="28"/>
          <w:szCs w:val="28"/>
        </w:rPr>
        <w:t xml:space="preserve">связаны с конкретными аппаратно-программными решениями и их характеристиками: производительность, надёжность, безопасность, совместимость, качество исполнения. Они проявляются на уровне отдельных систем и устройств;</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Технологические проблемы </w:t>
      </w:r>
      <w:r>
        <w:rPr>
          <w:rFonts w:ascii="Times New Roman" w:cs="Times New Roman" w:eastAsia="Times New Roman" w:hAnsi="Times New Roman"/>
          <w:sz w:val="28"/>
          <w:szCs w:val="28"/>
        </w:rPr>
        <w:t xml:space="preserve">относятся к выбору, развитию и поддержке самих технологий как направлений: моральное устаревание, технологический разрыв, стандартизация, импортозамещение, зависимость от ключевых поставщиков. Они проявляются на уровне отрасли и государства.</w:t>
      </w:r>
    </w:p>
    <w:p>
      <w:pPr>
        <w:pStyle w:val="Heading2"/>
        <w:spacing w:after="180" w:before="300" w:line="360"/>
      </w:pPr>
      <w:r>
        <w:rPr>
          <w:rFonts w:ascii="Times New Roman" w:cs="Times New Roman" w:eastAsia="Times New Roman" w:hAnsi="Times New Roman"/>
          <w:b/>
          <w:bCs/>
          <w:sz w:val="30"/>
          <w:szCs w:val="30"/>
        </w:rPr>
        <w:t xml:space="preserve">2.3. Технические проблемы</w:t>
      </w:r>
    </w:p>
    <w:p>
      <w:pPr>
        <w:pStyle w:val="Heading3"/>
        <w:spacing w:after="120" w:before="240" w:line="360"/>
      </w:pPr>
      <w:r>
        <w:rPr>
          <w:rFonts w:ascii="Times New Roman" w:cs="Times New Roman" w:eastAsia="Times New Roman" w:hAnsi="Times New Roman"/>
          <w:b/>
          <w:bCs/>
          <w:i/>
          <w:iCs/>
          <w:sz w:val="28"/>
          <w:szCs w:val="28"/>
        </w:rPr>
        <w:t xml:space="preserve">Качество и надёжность программного обеспечения</w:t>
      </w:r>
    </w:p>
    <w:p>
      <w:pPr>
        <w:spacing w:after="120" w:line="360"/>
        <w:ind w:firstLine="720"/>
        <w:jc w:val="both"/>
      </w:pPr>
      <w:r>
        <w:rPr>
          <w:rFonts w:ascii="Times New Roman" w:cs="Times New Roman" w:eastAsia="Times New Roman" w:hAnsi="Times New Roman"/>
          <w:sz w:val="28"/>
          <w:szCs w:val="28"/>
        </w:rPr>
        <w:t xml:space="preserve">Современные программные системы содержат миллионы строк кода и в среднем имеют 15–50 дефектов на 1000 строк после релиза. Дефекты программного обеспечения могут вести как к мелким неудобствам, так и к катастрофическим последствиям: классические примеры — гибель пациентов из-за ошибок в управляющем коде аппарата лучевой терапии Therac-25 (1985–1987), потеря ракеты Ariane 5 (1996) из-за ошибки целочисленного переполнения, отзыв 11 миллионов автомобилей Toyota из-за дефекта в ПО педали газа. Обеспечение качества требует целого спектра мер: формальные методы верификации, статический анализ кода, юнит- и интеграционное тестирование, code review, тестирование производительности и нагрузочное тестирование.</w:t>
      </w:r>
    </w:p>
    <w:p>
      <w:pPr>
        <w:pStyle w:val="Heading3"/>
        <w:spacing w:after="120" w:before="240" w:line="360"/>
      </w:pPr>
      <w:r>
        <w:rPr>
          <w:rFonts w:ascii="Times New Roman" w:cs="Times New Roman" w:eastAsia="Times New Roman" w:hAnsi="Times New Roman"/>
          <w:b/>
          <w:bCs/>
          <w:i/>
          <w:iCs/>
          <w:sz w:val="28"/>
          <w:szCs w:val="28"/>
        </w:rPr>
        <w:t xml:space="preserve">Информационная безопасность</w:t>
      </w:r>
    </w:p>
    <w:p>
      <w:pPr>
        <w:spacing w:after="120" w:line="360"/>
        <w:ind w:firstLine="720"/>
        <w:jc w:val="both"/>
      </w:pPr>
      <w:r>
        <w:rPr>
          <w:rFonts w:ascii="Times New Roman" w:cs="Times New Roman" w:eastAsia="Times New Roman" w:hAnsi="Times New Roman"/>
          <w:sz w:val="28"/>
          <w:szCs w:val="28"/>
        </w:rPr>
        <w:t xml:space="preserve">С ростом информатизации экспоненциально растёт и количество уязвимостей. В 2024 году было зарегистрировано более 30 000 новых уязвимостей в системе CVE (Common Vulnerabilities and Exposures). Основные технические проблемы безопасности: уязвимости в коде (переполнение буфера, SQL-инъекции, XSS); слабая криптография; компрометация цепочек поставок ПО (supply chain attacks типа SolarWinds 2020); атаки нулевого дня; необновляемое унаследованное ПО. По данным Positive Technologies, в 2023 году в России было зафиксировано более 600 целевых атак на критическую информационную инфраструктуру.</w:t>
      </w:r>
    </w:p>
    <w:p>
      <w:pPr>
        <w:pStyle w:val="Heading3"/>
        <w:spacing w:after="120" w:before="240" w:line="360"/>
      </w:pPr>
      <w:r>
        <w:rPr>
          <w:rFonts w:ascii="Times New Roman" w:cs="Times New Roman" w:eastAsia="Times New Roman" w:hAnsi="Times New Roman"/>
          <w:b/>
          <w:bCs/>
          <w:i/>
          <w:iCs/>
          <w:sz w:val="28"/>
          <w:szCs w:val="28"/>
        </w:rPr>
        <w:t xml:space="preserve">Производительность и масштабируемость</w:t>
      </w:r>
    </w:p>
    <w:p>
      <w:pPr>
        <w:spacing w:after="120" w:line="360"/>
        <w:ind w:firstLine="720"/>
        <w:jc w:val="both"/>
      </w:pPr>
      <w:r>
        <w:rPr>
          <w:rFonts w:ascii="Times New Roman" w:cs="Times New Roman" w:eastAsia="Times New Roman" w:hAnsi="Times New Roman"/>
          <w:sz w:val="28"/>
          <w:szCs w:val="28"/>
        </w:rPr>
        <w:t xml:space="preserve">Обработка постоянно растущих объёмов данных (Big Data — данные, для обработки которых не хватает мощности одного компьютера) требует распределённой обработки, что порождает все классические проблемы распределённых систем (CAP-теорема, согласованность, отказоустойчивость — подробно разобрано в билете 1). Запросы реального времени (real-time analytics) требуют sub-second отклика; финансовая отрасль предъявляет к торговым системам требования по задержке менее микросекунды (high-frequency trading).</w:t>
      </w:r>
    </w:p>
    <w:p>
      <w:pPr>
        <w:pStyle w:val="Heading3"/>
        <w:spacing w:after="120" w:before="240" w:line="360"/>
      </w:pPr>
      <w:r>
        <w:rPr>
          <w:rFonts w:ascii="Times New Roman" w:cs="Times New Roman" w:eastAsia="Times New Roman" w:hAnsi="Times New Roman"/>
          <w:b/>
          <w:bCs/>
          <w:i/>
          <w:iCs/>
          <w:sz w:val="28"/>
          <w:szCs w:val="28"/>
        </w:rPr>
        <w:t xml:space="preserve">Совместимость и интероперабельность</w:t>
      </w:r>
    </w:p>
    <w:p>
      <w:pPr>
        <w:spacing w:after="120" w:line="360"/>
        <w:ind w:firstLine="720"/>
        <w:jc w:val="both"/>
      </w:pPr>
      <w:r>
        <w:rPr>
          <w:rFonts w:ascii="Times New Roman" w:cs="Times New Roman" w:eastAsia="Times New Roman" w:hAnsi="Times New Roman"/>
          <w:sz w:val="28"/>
          <w:szCs w:val="28"/>
        </w:rPr>
        <w:t xml:space="preserve">В крупной организации обычно сосуществуют десятки разнородных информационных систем: ERP, CRM, BPM, СУП, бухгалтерское ПО, корпоративный портал, документооборот, БД, файловые хранилища. Каждая использует собственные форматы данных, протоколы, кодировки. Обеспечение их совместного функционирования требует ETL-процессов, шин данных (Enterprise Service Bus, ESB), интеграционных платформ. По разным оценкам, до 40 % бюджета ИТ-отдела крупного предприятия уходит на интеграцию.</w:t>
      </w:r>
    </w:p>
    <w:p>
      <w:pPr>
        <w:pStyle w:val="Heading3"/>
        <w:spacing w:after="120" w:before="240" w:line="360"/>
      </w:pPr>
      <w:r>
        <w:rPr>
          <w:rFonts w:ascii="Times New Roman" w:cs="Times New Roman" w:eastAsia="Times New Roman" w:hAnsi="Times New Roman"/>
          <w:b/>
          <w:bCs/>
          <w:i/>
          <w:iCs/>
          <w:sz w:val="28"/>
          <w:szCs w:val="28"/>
        </w:rPr>
        <w:t xml:space="preserve">Унаследованные системы (legacy)</w:t>
      </w:r>
    </w:p>
    <w:p>
      <w:pPr>
        <w:spacing w:after="120" w:line="360"/>
        <w:ind w:firstLine="720"/>
        <w:jc w:val="both"/>
      </w:pPr>
      <w:r>
        <w:rPr>
          <w:rFonts w:ascii="Times New Roman" w:cs="Times New Roman" w:eastAsia="Times New Roman" w:hAnsi="Times New Roman"/>
          <w:sz w:val="28"/>
          <w:szCs w:val="28"/>
        </w:rPr>
        <w:t xml:space="preserve">Многие отечественные банки, государственные учреждения, телекоммуникационные компании используют системы, написанные на устаревших технологиях (COBOL, Delphi 7, Fortran, ранние версии Java или 1С) десятки лет назад. Замена таких систем чрезвычайно дорога и рискованна, поэтому они продолжают эксплуатироваться: бюджеты тратятся на поддержку и обходные пути вместо развития. По оценке Reuters, мировые банки тратят более 35 % ИТ-бюджета на поддержку legacy-систем.</w:t>
      </w:r>
    </w:p>
    <w:p>
      <w:pPr>
        <w:pStyle w:val="Heading3"/>
        <w:spacing w:after="120" w:before="240" w:line="360"/>
      </w:pPr>
      <w:r>
        <w:rPr>
          <w:rFonts w:ascii="Times New Roman" w:cs="Times New Roman" w:eastAsia="Times New Roman" w:hAnsi="Times New Roman"/>
          <w:b/>
          <w:bCs/>
          <w:i/>
          <w:iCs/>
          <w:sz w:val="28"/>
          <w:szCs w:val="28"/>
        </w:rPr>
        <w:t xml:space="preserve">Энергопотребление и экологический след</w:t>
      </w:r>
    </w:p>
    <w:p>
      <w:pPr>
        <w:spacing w:after="120" w:line="360"/>
        <w:ind w:firstLine="720"/>
        <w:jc w:val="both"/>
      </w:pPr>
      <w:r>
        <w:rPr>
          <w:rFonts w:ascii="Times New Roman" w:cs="Times New Roman" w:eastAsia="Times New Roman" w:hAnsi="Times New Roman"/>
          <w:sz w:val="28"/>
          <w:szCs w:val="28"/>
        </w:rPr>
        <w:t xml:space="preserve">По данным Международного энергетического агентства, в 2024 году глобальные дата-центры потребили около 460 ТВт·ч электроэнергии — более 1,5 % мирового энергопотребления; обучение одной большой языковой модели уровня GPT-4 требует энергии, эквивалентной годовому потреблению небольшого города. Это породило направление Green IT: эффективные алгоритмы, охлаждение естественным холодом (free cooling), переход на возобновляемые источники, оптимизация кода. Связанная проблема — электронные отходы (e-waste), объём которых превысил 60 миллионов тонн в год.</w:t>
      </w:r>
    </w:p>
    <w:p>
      <w:pPr>
        <w:pStyle w:val="Heading2"/>
        <w:spacing w:after="180" w:before="300" w:line="360"/>
      </w:pPr>
      <w:r>
        <w:rPr>
          <w:rFonts w:ascii="Times New Roman" w:cs="Times New Roman" w:eastAsia="Times New Roman" w:hAnsi="Times New Roman"/>
          <w:b/>
          <w:bCs/>
          <w:sz w:val="30"/>
          <w:szCs w:val="30"/>
        </w:rPr>
        <w:t xml:space="preserve">2.4. Технологические проблемы</w:t>
      </w:r>
    </w:p>
    <w:p>
      <w:pPr>
        <w:pStyle w:val="Heading3"/>
        <w:spacing w:after="120" w:before="240" w:line="360"/>
      </w:pPr>
      <w:r>
        <w:rPr>
          <w:rFonts w:ascii="Times New Roman" w:cs="Times New Roman" w:eastAsia="Times New Roman" w:hAnsi="Times New Roman"/>
          <w:b/>
          <w:bCs/>
          <w:i/>
          <w:iCs/>
          <w:sz w:val="28"/>
          <w:szCs w:val="28"/>
        </w:rPr>
        <w:t xml:space="preserve">Быстрая смена технологий и устаревание знаний</w:t>
      </w:r>
    </w:p>
    <w:p>
      <w:pPr>
        <w:spacing w:after="120" w:line="360"/>
        <w:ind w:firstLine="720"/>
        <w:jc w:val="both"/>
      </w:pPr>
      <w:r>
        <w:rPr>
          <w:rFonts w:ascii="Times New Roman" w:cs="Times New Roman" w:eastAsia="Times New Roman" w:hAnsi="Times New Roman"/>
          <w:sz w:val="28"/>
          <w:szCs w:val="28"/>
        </w:rPr>
        <w:t xml:space="preserve">Цикл существования технологии в современных ИТ редко превышает 5–7 лет. Среди front-end-фреймворков на смену jQuery пришли AngularJS, потом Angular 2+, React, Vue, Svelte, в скором будущем — Solid и Qwik. Это порождает проблему устаревания квалификации специалистов (skill obsolescence): инженер, не обновляющий знания, через 5–10 лет оказывается непригодным к найму. Технологический долг (technical debt) накапливается быстрее, чем его удаётся погашать.</w:t>
      </w:r>
    </w:p>
    <w:p>
      <w:pPr>
        <w:pStyle w:val="Heading3"/>
        <w:spacing w:after="120" w:before="240" w:line="360"/>
      </w:pPr>
      <w:r>
        <w:rPr>
          <w:rFonts w:ascii="Times New Roman" w:cs="Times New Roman" w:eastAsia="Times New Roman" w:hAnsi="Times New Roman"/>
          <w:b/>
          <w:bCs/>
          <w:i/>
          <w:iCs/>
          <w:sz w:val="28"/>
          <w:szCs w:val="28"/>
        </w:rPr>
        <w:t xml:space="preserve">Импортозамещение и технологический суверенитет</w:t>
      </w:r>
    </w:p>
    <w:p>
      <w:pPr>
        <w:spacing w:after="120" w:line="360"/>
        <w:ind w:firstLine="720"/>
        <w:jc w:val="both"/>
      </w:pPr>
      <w:r>
        <w:rPr>
          <w:rFonts w:ascii="Times New Roman" w:cs="Times New Roman" w:eastAsia="Times New Roman" w:hAnsi="Times New Roman"/>
          <w:sz w:val="28"/>
          <w:szCs w:val="28"/>
        </w:rPr>
        <w:t xml:space="preserve">Для Российской Федерации эта проблема стала особенно острой после 2022 года, когда ряд зарубежных производителей ПО (Microsoft, Oracle, IBM, SAP, Atlassian, Autodesk) прекратил поставки и обслуживание в РФ. Это потребовало форсированной замены критически важных систем на отечественные аналоги: операционные системы (Astra Linux, ALT Linux, РЕД ОС), СУБД (Postgres Pro, Tantor, Ред База Данных), офисные пакеты (Р7-Офис, МойОфис), CRM/ERP (1С, Битрикс24, Парус), системы виртуализации (zVirt, ROSA Virtualization). Постановление Правительства РФ № 1236 ограничивает закупку зарубежного ПО для государственных нужд. Минцифры ведёт Единый реестр российских программ. Однако полное замещение тормозится отсутствием ряда узкоспециализированных решений (САПР высокого уровня, средства EDA для микроэлектроники, специализированное промышленное ПО).</w:t>
      </w:r>
    </w:p>
    <w:p>
      <w:pPr>
        <w:pStyle w:val="Heading3"/>
        <w:spacing w:after="120" w:before="240" w:line="360"/>
      </w:pPr>
      <w:r>
        <w:rPr>
          <w:rFonts w:ascii="Times New Roman" w:cs="Times New Roman" w:eastAsia="Times New Roman" w:hAnsi="Times New Roman"/>
          <w:b/>
          <w:bCs/>
          <w:i/>
          <w:iCs/>
          <w:sz w:val="28"/>
          <w:szCs w:val="28"/>
        </w:rPr>
        <w:t xml:space="preserve">Стандартизация и интероперабельность</w:t>
      </w:r>
    </w:p>
    <w:p>
      <w:pPr>
        <w:spacing w:after="120" w:line="360"/>
        <w:ind w:firstLine="720"/>
        <w:jc w:val="both"/>
      </w:pPr>
      <w:r>
        <w:rPr>
          <w:rFonts w:ascii="Times New Roman" w:cs="Times New Roman" w:eastAsia="Times New Roman" w:hAnsi="Times New Roman"/>
          <w:sz w:val="28"/>
          <w:szCs w:val="28"/>
        </w:rPr>
        <w:t xml:space="preserve">Отсутствие универсальных стандартов или их несоблюдение порождают «зоопарк» технологий. Известные попытки стандартизации: OSI / ВОС-модель, ISO 9000 для качества, ISO/IEC 25010 для качества ПО, отечественные ГОСТ Р 56939 (безопасная разработка), ГОСТ Р ИСО/МЭК 12207 (жизненный цикл ПО). На отдельных рынках сложились де-факто стандарты (HTTP, HTML5, JSON, REST), но в индустриальной автоматизации, медицине, государственных системах до сих пор сосуществуют десятки конкурирующих стандартов.</w:t>
      </w:r>
    </w:p>
    <w:p>
      <w:pPr>
        <w:pStyle w:val="Heading3"/>
        <w:spacing w:after="120" w:before="240" w:line="360"/>
      </w:pPr>
      <w:r>
        <w:rPr>
          <w:rFonts w:ascii="Times New Roman" w:cs="Times New Roman" w:eastAsia="Times New Roman" w:hAnsi="Times New Roman"/>
          <w:b/>
          <w:bCs/>
          <w:i/>
          <w:iCs/>
          <w:sz w:val="28"/>
          <w:szCs w:val="28"/>
        </w:rPr>
        <w:t xml:space="preserve">Vendor lock-in</w:t>
      </w:r>
    </w:p>
    <w:p>
      <w:pPr>
        <w:spacing w:after="120" w:line="360"/>
        <w:ind w:firstLine="720"/>
        <w:jc w:val="both"/>
      </w:pPr>
      <w:r>
        <w:rPr>
          <w:rFonts w:ascii="Times New Roman" w:cs="Times New Roman" w:eastAsia="Times New Roman" w:hAnsi="Times New Roman"/>
          <w:sz w:val="28"/>
          <w:szCs w:val="28"/>
        </w:rPr>
        <w:t xml:space="preserve">Привязка к конкретному поставщику (vendor lock-in) — ситуация, когда организация так глубоко интегрирована с экосистемой одного производителя (Oracle, Microsoft, AWS, Apple), что переход на альтернативу требует переписывания значительной части кода и миграции данных. Это создаёт стратегическую уязвимость: ценовые повышения, прекращение поддержки, политические ограничения становятся для организации фатальными. Уровень lock-in варьируется: использование стандартных протоколов (PostgreSQL, Kubernetes, открытые форматы) снижает риск; использование проприетарных функций (AWS Lambda, Oracle PL/SQL, Apple-only API) повышает его.</w:t>
      </w:r>
    </w:p>
    <w:p>
      <w:pPr>
        <w:pStyle w:val="Heading3"/>
        <w:spacing w:after="120" w:before="240" w:line="360"/>
      </w:pPr>
      <w:r>
        <w:rPr>
          <w:rFonts w:ascii="Times New Roman" w:cs="Times New Roman" w:eastAsia="Times New Roman" w:hAnsi="Times New Roman"/>
          <w:b/>
          <w:bCs/>
          <w:i/>
          <w:iCs/>
          <w:sz w:val="28"/>
          <w:szCs w:val="28"/>
        </w:rPr>
        <w:t xml:space="preserve">Цифровое неравенство (digital divide)</w:t>
      </w:r>
    </w:p>
    <w:p>
      <w:pPr>
        <w:spacing w:after="120" w:line="360"/>
        <w:ind w:firstLine="720"/>
        <w:jc w:val="both"/>
      </w:pPr>
      <w:r>
        <w:rPr>
          <w:rFonts w:ascii="Times New Roman" w:cs="Times New Roman" w:eastAsia="Times New Roman" w:hAnsi="Times New Roman"/>
          <w:sz w:val="28"/>
          <w:szCs w:val="28"/>
        </w:rPr>
        <w:t xml:space="preserve">Технологический аспект цифрового неравенства проявляется в неравномерности доступа к высокоскоростному интернету, современным устройствам и облачным сервисам. По данным Росстата 2023 года, доля домохозяйств с широкополосным интернетом составляет 84 % в городах и 67 % в сельской местности. Развитие сетей 5G, спутникового интернета (Starlink, Гонец), магистральных каналов в отдалённые регионы — техническое решение проблемы; программа «Цифровая экономика» в РФ предусматривает покрытие 97 % населённых пунктов широкополосным интернетом к 2030 году.</w:t>
      </w:r>
    </w:p>
    <w:p>
      <w:pPr>
        <w:pStyle w:val="Heading3"/>
        <w:spacing w:after="120" w:before="240" w:line="360"/>
      </w:pPr>
      <w:r>
        <w:rPr>
          <w:rFonts w:ascii="Times New Roman" w:cs="Times New Roman" w:eastAsia="Times New Roman" w:hAnsi="Times New Roman"/>
          <w:b/>
          <w:bCs/>
          <w:i/>
          <w:iCs/>
          <w:sz w:val="28"/>
          <w:szCs w:val="28"/>
        </w:rPr>
        <w:t xml:space="preserve">Криптографические вызовы и постквантовая криптография</w:t>
      </w:r>
    </w:p>
    <w:p>
      <w:pPr>
        <w:spacing w:after="120" w:line="360"/>
        <w:ind w:firstLine="720"/>
        <w:jc w:val="both"/>
      </w:pPr>
      <w:r>
        <w:rPr>
          <w:rFonts w:ascii="Times New Roman" w:cs="Times New Roman" w:eastAsia="Times New Roman" w:hAnsi="Times New Roman"/>
          <w:sz w:val="28"/>
          <w:szCs w:val="28"/>
        </w:rPr>
        <w:t xml:space="preserve">Развитие квантовых вычислений ставит под угрозу значительную часть современной криптографии: алгоритм Шора, реализованный на достаточно мощном квантовом компьютере, ломает RSA и ECC за полиномиальное время. NIST в 2022 году утвердил первые стандарты постквантовой криптографии (CRYSTALS-Kyber для шифрования, CRYSTALS-Dilithium и SPHINCS+ для подписей). В РФ активно развиваются отечественные постквантовые алгоритмы (например, разработки ИЦиТМО и КриптоПро). Перевод глобальной инфраструктуры (TLS, VPN, банковские системы) на новую криптографию — крупнейший технологический вызов ближайшего десятилетия.</w:t>
      </w:r>
    </w:p>
    <w:p>
      <w:pPr>
        <w:pStyle w:val="Heading3"/>
        <w:spacing w:after="120" w:before="240" w:line="360"/>
      </w:pPr>
      <w:r>
        <w:rPr>
          <w:rFonts w:ascii="Times New Roman" w:cs="Times New Roman" w:eastAsia="Times New Roman" w:hAnsi="Times New Roman"/>
          <w:b/>
          <w:bCs/>
          <w:i/>
          <w:iCs/>
          <w:sz w:val="28"/>
          <w:szCs w:val="28"/>
        </w:rPr>
        <w:t xml:space="preserve">Инфраструктурные проблемы высокопроизводительных вычислений</w:t>
      </w:r>
    </w:p>
    <w:p>
      <w:pPr>
        <w:spacing w:after="120" w:line="360"/>
        <w:ind w:firstLine="720"/>
        <w:jc w:val="both"/>
      </w:pPr>
      <w:r>
        <w:rPr>
          <w:rFonts w:ascii="Times New Roman" w:cs="Times New Roman" w:eastAsia="Times New Roman" w:hAnsi="Times New Roman"/>
          <w:sz w:val="28"/>
          <w:szCs w:val="28"/>
        </w:rPr>
        <w:t xml:space="preserve">Развитие искусственного интеллекта, особенно генеративных моделей, требует огромных вычислительных мощностей на основе графических процессоров (GPU). До 2022 года глобальный рынок ИИ-ускорителей был фактически монополизирован компанией NVIDIA (более 80 % рынка). Ограничения на экспорт продвинутых чипов в РФ и Китай поставили задачу разработки собственных нейроморфных и тензорных процессоров — в России работают команды «Эльбрус», «Байкал Электроникс», «Модуль», но полностью заместить NVIDIA H100 / B100 пока невозможно.</w:t>
      </w:r>
    </w:p>
    <w:p>
      <w:pPr>
        <w:pStyle w:val="Heading3"/>
        <w:spacing w:after="120" w:before="240" w:line="360"/>
      </w:pPr>
      <w:r>
        <w:rPr>
          <w:rFonts w:ascii="Times New Roman" w:cs="Times New Roman" w:eastAsia="Times New Roman" w:hAnsi="Times New Roman"/>
          <w:b/>
          <w:bCs/>
          <w:i/>
          <w:iCs/>
          <w:sz w:val="28"/>
          <w:szCs w:val="28"/>
        </w:rPr>
        <w:t xml:space="preserve">Биометрия и обработка больших персональных данных</w:t>
      </w:r>
    </w:p>
    <w:p>
      <w:pPr>
        <w:spacing w:after="120" w:line="360"/>
        <w:ind w:firstLine="720"/>
        <w:jc w:val="both"/>
      </w:pPr>
      <w:r>
        <w:rPr>
          <w:rFonts w:ascii="Times New Roman" w:cs="Times New Roman" w:eastAsia="Times New Roman" w:hAnsi="Times New Roman"/>
          <w:sz w:val="28"/>
          <w:szCs w:val="28"/>
        </w:rPr>
        <w:t xml:space="preserve">Распространение биометрических систем (Face ID, оплата лицом, СБП, Единая Биометрическая Система ЕБС в РФ) порождает технологические проблемы хранения и обработки чувствительных данных: высокие требования к шифрованию (AES-256, ГОСТ 28147-89), защищённое хранилище ключей, регулярная ротация, аппаратные средства защиты (HSM — Hardware Security Module). Утечка биометрии необратима — пароль можно сменить, отпечаток пальца нет.</w:t>
      </w:r>
    </w:p>
    <w:p>
      <w:pPr>
        <w:pStyle w:val="Heading2"/>
        <w:spacing w:after="180" w:before="300" w:line="360"/>
      </w:pPr>
      <w:r>
        <w:rPr>
          <w:rFonts w:ascii="Times New Roman" w:cs="Times New Roman" w:eastAsia="Times New Roman" w:hAnsi="Times New Roman"/>
          <w:b/>
          <w:bCs/>
          <w:sz w:val="30"/>
          <w:szCs w:val="30"/>
        </w:rPr>
        <w:t xml:space="preserve">Выводы по вопросу 2</w:t>
      </w:r>
    </w:p>
    <w:p>
      <w:pPr>
        <w:spacing w:after="120" w:line="360"/>
        <w:ind w:firstLine="720"/>
        <w:jc w:val="both"/>
      </w:pPr>
      <w:r>
        <w:rPr>
          <w:rFonts w:ascii="Times New Roman" w:cs="Times New Roman" w:eastAsia="Times New Roman" w:hAnsi="Times New Roman"/>
          <w:sz w:val="28"/>
          <w:szCs w:val="28"/>
        </w:rPr>
        <w:t xml:space="preserve">Информатизация общества порождает обширный комплекс технических и технологических проблем, которые принципиально отличаются от социальных и правовых: они связаны с самой природой используемых ИТ-инфраструктур и технологий. К техническим проблемам относятся качество и надёжность ПО (дефекты, классические катастрофы Therac-25 и Ariane 5), информационная безопасность (более 30 тыс. CVE-уязвимостей в год), производительность и масштабируемость в условиях больших данных, совместимость и интероперабельность разнородных систем, поддержка унаследованных систем, экологический след дата-центров. К технологическим проблемам — быстрая смена технологий и устаревание квалификации, импортозамещение и технологический суверенитет (особо актуальные для РФ после 2022 года), стандартизация, vendor lock-in, цифровое неравенство, постквантовая криптография, инфраструктура высокопроизводительных ИИ-вычислений, защита биометрии. Решение этих проблем требует системного государственного подхода (национальные проекты, Единый реестр российского ПО, стандарты ГОСТ Р, регулирование), отраслевых стандартов и постоянной образовательной работы.</w:t>
      </w:r>
    </w:p>
    <w:p>
      <w:r>
        <w:br w:type="page"/>
      </w:r>
    </w:p>
    <w:p>
      <w:pPr>
        <w:pStyle w:val="Heading1"/>
        <w:spacing w:after="240" w:before="360" w:line="360"/>
        <w:jc w:val="center"/>
      </w:pPr>
      <w:r>
        <w:rPr>
          <w:rFonts w:ascii="Times New Roman" w:cs="Times New Roman" w:eastAsia="Times New Roman" w:hAnsi="Times New Roman"/>
          <w:b/>
          <w:bCs/>
          <w:sz w:val="32"/>
          <w:szCs w:val="32"/>
        </w:rPr>
        <w:t xml:space="preserve">Вопрос 3. Архитектура системы дистанционного обучения в нотации C4</w:t>
      </w:r>
    </w:p>
    <w:p>
      <w:pPr>
        <w:pStyle w:val="Heading2"/>
        <w:spacing w:after="180" w:before="300" w:line="360"/>
      </w:pPr>
      <w:r>
        <w:rPr>
          <w:rFonts w:ascii="Times New Roman" w:cs="Times New Roman" w:eastAsia="Times New Roman" w:hAnsi="Times New Roman"/>
          <w:b/>
          <w:bCs/>
          <w:sz w:val="30"/>
          <w:szCs w:val="30"/>
        </w:rPr>
        <w:t xml:space="preserve">3.1. Нотация C4: общее представление</w:t>
      </w:r>
    </w:p>
    <w:p>
      <w:pPr>
        <w:spacing w:after="120" w:line="360"/>
        <w:ind w:firstLine="720"/>
        <w:jc w:val="both"/>
      </w:pPr>
      <w:r>
        <w:rPr>
          <w:rFonts w:ascii="Times New Roman" w:cs="Times New Roman" w:eastAsia="Times New Roman" w:hAnsi="Times New Roman"/>
          <w:sz w:val="28"/>
          <w:szCs w:val="28"/>
        </w:rPr>
        <w:t xml:space="preserve">Нотация C4 (Context, Containers, Components, Code) — это иерархический подход к визуализации архитектуры программных систем, предложенный британским архитектором Саймоном Брауном в 2018 году. C4 не является стандартом ISO, но получил широкое распространение как «de facto» в индустрии благодаря простоте, прагматичности и независимости от конкретных инструментов. Главная идея C4 — представить архитектуру системы в виде набора связанных диаграмм четырёх уровней детализации, аналогично топографическим картам разного масштаба.</w:t>
      </w:r>
    </w:p>
    <w:p>
      <w:pPr>
        <w:spacing w:after="120" w:line="360"/>
        <w:ind w:firstLine="720"/>
        <w:jc w:val="both"/>
      </w:pPr>
      <w:r>
        <w:rPr>
          <w:rFonts w:ascii="Times New Roman" w:cs="Times New Roman" w:eastAsia="Times New Roman" w:hAnsi="Times New Roman"/>
          <w:sz w:val="28"/>
          <w:szCs w:val="28"/>
        </w:rPr>
        <w:t xml:space="preserve">Четыре уровня детализации:</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Уровень 1 — Контекст (System Context). </w:t>
      </w:r>
      <w:r>
        <w:rPr>
          <w:rFonts w:ascii="Times New Roman" w:cs="Times New Roman" w:eastAsia="Times New Roman" w:hAnsi="Times New Roman"/>
          <w:sz w:val="28"/>
          <w:szCs w:val="28"/>
        </w:rPr>
        <w:t xml:space="preserve">Самый общий взгляд: какие пользователи и внешние системы взаимодействуют с нашей системой. Аудитория — топ-менеджмент, заказчики, не-технические специалисты;</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Уровень 2 — Контейнеры (Containers). </w:t>
      </w:r>
      <w:r>
        <w:rPr>
          <w:rFonts w:ascii="Times New Roman" w:cs="Times New Roman" w:eastAsia="Times New Roman" w:hAnsi="Times New Roman"/>
          <w:sz w:val="28"/>
          <w:szCs w:val="28"/>
        </w:rPr>
        <w:t xml:space="preserve">Из чего состоит система: отдельно развёртываемые единицы — приложения, базы данных, файловые хранилища, очереди сообщений. Аудитория — архитекторы, технические руководители, DevOps;</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Уровень 3 — Компоненты (Components). </w:t>
      </w:r>
      <w:r>
        <w:rPr>
          <w:rFonts w:ascii="Times New Roman" w:cs="Times New Roman" w:eastAsia="Times New Roman" w:hAnsi="Times New Roman"/>
          <w:sz w:val="28"/>
          <w:szCs w:val="28"/>
        </w:rPr>
        <w:t xml:space="preserve">Внутреннее устройство одного контейнера: его компоненты (модули, классы высокого уровня) и связи между ними. Аудитория — разработчики, проектирующие конкретный сервис;</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Уровень 4 — Код (Code). </w:t>
      </w:r>
      <w:r>
        <w:rPr>
          <w:rFonts w:ascii="Times New Roman" w:cs="Times New Roman" w:eastAsia="Times New Roman" w:hAnsi="Times New Roman"/>
          <w:sz w:val="28"/>
          <w:szCs w:val="28"/>
        </w:rPr>
        <w:t xml:space="preserve">Самый детальный уровень: классы, интерфейсы, отношения между ними. Обычно генерируется автоматически из исходного кода и используется ситуативно.</w:t>
      </w:r>
    </w:p>
    <w:p>
      <w:pPr>
        <w:spacing w:after="120" w:line="360"/>
        <w:ind w:firstLine="720"/>
        <w:jc w:val="both"/>
      </w:pPr>
      <w:r>
        <w:rPr>
          <w:rFonts w:ascii="Times New Roman" w:cs="Times New Roman" w:eastAsia="Times New Roman" w:hAnsi="Times New Roman"/>
          <w:sz w:val="28"/>
          <w:szCs w:val="28"/>
        </w:rPr>
        <w:t xml:space="preserve">В данном решении построены первые три уровня — Context, Containers и Components — что соответствует стандартному требованию большинства производственных задач.</w:t>
      </w:r>
    </w:p>
    <w:p>
      <w:pPr>
        <w:pStyle w:val="Heading2"/>
        <w:spacing w:after="180" w:before="300" w:line="360"/>
      </w:pPr>
      <w:r>
        <w:rPr>
          <w:rFonts w:ascii="Times New Roman" w:cs="Times New Roman" w:eastAsia="Times New Roman" w:hAnsi="Times New Roman"/>
          <w:b/>
          <w:bCs/>
          <w:sz w:val="30"/>
          <w:szCs w:val="30"/>
        </w:rPr>
        <w:t xml:space="preserve">3.2. Предметная область: система дистанционного обучения</w:t>
      </w:r>
    </w:p>
    <w:p>
      <w:pPr>
        <w:spacing w:after="120" w:line="360"/>
        <w:ind w:firstLine="720"/>
        <w:jc w:val="both"/>
      </w:pPr>
      <w:r>
        <w:rPr>
          <w:rFonts w:ascii="Times New Roman" w:cs="Times New Roman" w:eastAsia="Times New Roman" w:hAnsi="Times New Roman"/>
          <w:sz w:val="28"/>
          <w:szCs w:val="28"/>
        </w:rPr>
        <w:t xml:space="preserve">Система дистанционного обучения (СДО; англ. Learning Management System, LMS) — это программный комплекс для организации удалённого учебного процесса. Типовые СДО (Moodle, edX, российские GetCourse, iSpring, Skillbox.LMS, СберУниверситет) позволяют создавать курсы, проводить онлайн-уроки, давать домашние задания, тестировать обучающихся, отслеживать их прогресс. В рамках задания спроектируем архитектуру с нуля для гипотетической отечественной СДО среднего масштаба, ориентированной на школы и вузы.</w:t>
      </w:r>
    </w:p>
    <w:p>
      <w:pPr>
        <w:spacing w:after="120" w:line="360"/>
        <w:ind w:firstLine="720"/>
        <w:jc w:val="both"/>
      </w:pPr>
      <w:r>
        <w:rPr>
          <w:rFonts w:ascii="Times New Roman" w:cs="Times New Roman" w:eastAsia="Times New Roman" w:hAnsi="Times New Roman"/>
          <w:sz w:val="28"/>
          <w:szCs w:val="28"/>
        </w:rPr>
        <w:t xml:space="preserve">Функциональные требования к системе:</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регистрация учащихся, преподавателей, администраторов, родителей;</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создание и публикация курсов, уроков, тестов;</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проведение онлайн-уроков через интегрированные видеоконференции;</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автоматическая проверка тестов, ручная проверка работ преподавателем;</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ведение прогресса обучающихся и формирование аналитических отчётов;</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приём оплаты за курсы;</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уведомления (email, SMS, push);</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чат и форум между учащимися и преподавателями.</w:t>
      </w:r>
    </w:p>
    <w:p>
      <w:pPr>
        <w:pStyle w:val="Heading2"/>
        <w:spacing w:after="180" w:before="300" w:line="360"/>
      </w:pPr>
      <w:r>
        <w:rPr>
          <w:rFonts w:ascii="Times New Roman" w:cs="Times New Roman" w:eastAsia="Times New Roman" w:hAnsi="Times New Roman"/>
          <w:b/>
          <w:bCs/>
          <w:sz w:val="30"/>
          <w:szCs w:val="30"/>
        </w:rPr>
        <w:t xml:space="preserve">3.3. Уровень 1 — Контекст системы</w:t>
      </w:r>
    </w:p>
    <w:p>
      <w:pPr>
        <w:spacing w:after="120" w:line="360"/>
        <w:ind w:firstLine="720"/>
        <w:jc w:val="both"/>
      </w:pPr>
      <w:r>
        <w:rPr>
          <w:rFonts w:ascii="Times New Roman" w:cs="Times New Roman" w:eastAsia="Times New Roman" w:hAnsi="Times New Roman"/>
          <w:sz w:val="28"/>
          <w:szCs w:val="28"/>
        </w:rPr>
        <w:t xml:space="preserve">На уровне контекста система отображается единым «чёрным ящиком» и показывается её взаимодействие с пользователями (актёрами) и внешними системами. Назначение уровня — донести общий смысл проектируемого решения до нетехнических заинтересованных сторон.</w:t>
      </w:r>
    </w:p>
    <w:p>
      <w:pPr>
        <w:spacing w:after="120" w:line="360"/>
        <w:ind w:firstLine="720"/>
        <w:jc w:val="both"/>
      </w:pPr>
      <w:r>
        <w:rPr>
          <w:rFonts w:ascii="Times New Roman" w:cs="Times New Roman" w:eastAsia="Times New Roman" w:hAnsi="Times New Roman"/>
          <w:sz w:val="28"/>
          <w:szCs w:val="28"/>
        </w:rPr>
        <w:t xml:space="preserve">Идентифицированы четыре категории пользователей:</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Студент / Учащийся </w:t>
      </w:r>
      <w:r>
        <w:rPr>
          <w:rFonts w:ascii="Times New Roman" w:cs="Times New Roman" w:eastAsia="Times New Roman" w:hAnsi="Times New Roman"/>
          <w:sz w:val="28"/>
          <w:szCs w:val="28"/>
        </w:rPr>
        <w:t xml:space="preserve">— основной потребитель образовательного контента; проходит курсы, выполняет задания, сдаёт тесты;</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Преподаватель </w:t>
      </w:r>
      <w:r>
        <w:rPr>
          <w:rFonts w:ascii="Times New Roman" w:cs="Times New Roman" w:eastAsia="Times New Roman" w:hAnsi="Times New Roman"/>
          <w:sz w:val="28"/>
          <w:szCs w:val="28"/>
        </w:rPr>
        <w:t xml:space="preserve">— создаёт курсы, проводит занятия, проверяет работы;</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Администратор </w:t>
      </w:r>
      <w:r>
        <w:rPr>
          <w:rFonts w:ascii="Times New Roman" w:cs="Times New Roman" w:eastAsia="Times New Roman" w:hAnsi="Times New Roman"/>
          <w:sz w:val="28"/>
          <w:szCs w:val="28"/>
        </w:rPr>
        <w:t xml:space="preserve">— управляет пользователями, ролями, тарифами, общим контентом платформы;</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Родитель </w:t>
      </w:r>
      <w:r>
        <w:rPr>
          <w:rFonts w:ascii="Times New Roman" w:cs="Times New Roman" w:eastAsia="Times New Roman" w:hAnsi="Times New Roman"/>
          <w:sz w:val="28"/>
          <w:szCs w:val="28"/>
        </w:rPr>
        <w:t xml:space="preserve">— отслеживает успеваемость своего ребёнка (актуально для школ).</w:t>
      </w:r>
    </w:p>
    <w:p>
      <w:pPr>
        <w:spacing w:after="120" w:line="360"/>
        <w:ind w:firstLine="720"/>
        <w:jc w:val="both"/>
      </w:pPr>
      <w:r>
        <w:rPr>
          <w:rFonts w:ascii="Times New Roman" w:cs="Times New Roman" w:eastAsia="Times New Roman" w:hAnsi="Times New Roman"/>
          <w:sz w:val="28"/>
          <w:szCs w:val="28"/>
        </w:rPr>
        <w:t xml:space="preserve">Внешние системы:</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Платёжный шлюз </w:t>
      </w:r>
      <w:r>
        <w:rPr>
          <w:rFonts w:ascii="Times New Roman" w:cs="Times New Roman" w:eastAsia="Times New Roman" w:hAnsi="Times New Roman"/>
          <w:sz w:val="28"/>
          <w:szCs w:val="28"/>
        </w:rPr>
        <w:t xml:space="preserve">(ЮKassa, СберPay) — приём платежей за курсы;</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Email-сервис </w:t>
      </w:r>
      <w:r>
        <w:rPr>
          <w:rFonts w:ascii="Times New Roman" w:cs="Times New Roman" w:eastAsia="Times New Roman" w:hAnsi="Times New Roman"/>
          <w:sz w:val="28"/>
          <w:szCs w:val="28"/>
        </w:rPr>
        <w:t xml:space="preserve">(SMTP, SendGrid) — рассылка уведомлений;</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Платформа видеоконференций </w:t>
      </w:r>
      <w:r>
        <w:rPr>
          <w:rFonts w:ascii="Times New Roman" w:cs="Times New Roman" w:eastAsia="Times New Roman" w:hAnsi="Times New Roman"/>
          <w:sz w:val="28"/>
          <w:szCs w:val="28"/>
        </w:rPr>
        <w:t xml:space="preserve">(Jitsi Meet, BigBlueButton) — проведение онлайн-уроков;</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SMS-шлюз </w:t>
      </w:r>
      <w:r>
        <w:rPr>
          <w:rFonts w:ascii="Times New Roman" w:cs="Times New Roman" w:eastAsia="Times New Roman" w:hAnsi="Times New Roman"/>
          <w:sz w:val="28"/>
          <w:szCs w:val="28"/>
        </w:rPr>
        <w:t xml:space="preserve">(МТС, МегаФон) — отправка SMS-кодов для двухфакторной аутентификации;</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Сервис антиплагиата </w:t>
      </w:r>
      <w:r>
        <w:rPr>
          <w:rFonts w:ascii="Times New Roman" w:cs="Times New Roman" w:eastAsia="Times New Roman" w:hAnsi="Times New Roman"/>
          <w:sz w:val="28"/>
          <w:szCs w:val="28"/>
        </w:rPr>
        <w:t xml:space="preserve">(Антиплагиат.ru) — проверка письменных работ.</w:t>
      </w:r>
    </w:p>
    <w:p>
      <w:pPr>
        <w:spacing w:after="120" w:line="360"/>
        <w:ind w:firstLine="720"/>
        <w:jc w:val="both"/>
      </w:pPr>
      <w:r>
        <w:rPr>
          <w:rFonts w:ascii="Times New Roman" w:cs="Times New Roman" w:eastAsia="Times New Roman" w:hAnsi="Times New Roman"/>
          <w:sz w:val="28"/>
          <w:szCs w:val="28"/>
        </w:rPr>
        <w:t xml:space="preserve">Диаграмма уровня 1 представлена на рисунке 1.</w:t>
      </w:r>
    </w:p>
    <w:p>
      <w:pPr>
        <w:spacing w:after="120" w:before="240"/>
        <w:jc w:val="center"/>
      </w:pPr>
      <w:r>
        <w:drawing>
          <wp:inline distT="0" distB="0" distL="0" distR="0">
            <wp:extent cx="5715000" cy="3333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5715000" cy="3333750"/>
                    </a:xfrm>
                    <a:prstGeom prst="rect">
                      <a:avLst/>
                    </a:prstGeom>
                  </pic:spPr>
                </pic:pic>
              </a:graphicData>
            </a:graphic>
          </wp:inline>
        </w:drawing>
      </w:r>
    </w:p>
    <w:p>
      <w:pPr>
        <w:spacing w:after="240"/>
        <w:jc w:val="center"/>
      </w:pPr>
      <w:r>
        <w:rPr>
          <w:rFonts w:ascii="Times New Roman" w:cs="Times New Roman" w:eastAsia="Times New Roman" w:hAnsi="Times New Roman"/>
          <w:i/>
          <w:iCs/>
          <w:sz w:val="24"/>
          <w:szCs w:val="24"/>
        </w:rPr>
        <w:t xml:space="preserve">Рисунок 1 — Уровень 1 (Context): контекст системы дистанционного обучения</w:t>
      </w:r>
    </w:p>
    <w:p>
      <w:pPr>
        <w:pStyle w:val="Heading2"/>
        <w:spacing w:after="180" w:before="300" w:line="360"/>
      </w:pPr>
      <w:r>
        <w:rPr>
          <w:rFonts w:ascii="Times New Roman" w:cs="Times New Roman" w:eastAsia="Times New Roman" w:hAnsi="Times New Roman"/>
          <w:b/>
          <w:bCs/>
          <w:sz w:val="30"/>
          <w:szCs w:val="30"/>
        </w:rPr>
        <w:t xml:space="preserve">3.4. Уровень 2 — Контейнеры</w:t>
      </w:r>
    </w:p>
    <w:p>
      <w:pPr>
        <w:spacing w:after="120" w:line="360"/>
        <w:ind w:firstLine="720"/>
        <w:jc w:val="both"/>
      </w:pPr>
      <w:r>
        <w:rPr>
          <w:rFonts w:ascii="Times New Roman" w:cs="Times New Roman" w:eastAsia="Times New Roman" w:hAnsi="Times New Roman"/>
          <w:sz w:val="28"/>
          <w:szCs w:val="28"/>
        </w:rPr>
        <w:t xml:space="preserve">На уровне контейнеров «чёрный ящик» системы раскрывается: показываются все отдельно развёртываемые единицы — веб-приложения, мобильные приложения, микросервисы бизнес-логики, базы данных, кэши, очереди сообщений, файловые хранилища. Каждый контейнер сопровождается указанием технологии реализации, что позволяет архитектору и DevOps-инженеру понять стек проекта.</w:t>
      </w:r>
    </w:p>
    <w:p>
      <w:pPr>
        <w:spacing w:after="120" w:line="360"/>
        <w:ind w:firstLine="720"/>
        <w:jc w:val="both"/>
      </w:pPr>
      <w:r>
        <w:rPr>
          <w:rFonts w:ascii="Times New Roman" w:cs="Times New Roman" w:eastAsia="Times New Roman" w:hAnsi="Times New Roman"/>
          <w:sz w:val="28"/>
          <w:szCs w:val="28"/>
        </w:rPr>
        <w:t xml:space="preserve">В проектируемой СДО выделены следующие контейнеры:</w:t>
      </w:r>
    </w:p>
    <w:p>
      <w:pPr>
        <w:pStyle w:val="Heading3"/>
        <w:spacing w:after="120" w:before="240" w:line="360"/>
      </w:pPr>
      <w:r>
        <w:rPr>
          <w:rFonts w:ascii="Times New Roman" w:cs="Times New Roman" w:eastAsia="Times New Roman" w:hAnsi="Times New Roman"/>
          <w:b/>
          <w:bCs/>
          <w:i/>
          <w:iCs/>
          <w:sz w:val="28"/>
          <w:szCs w:val="28"/>
        </w:rPr>
        <w:t xml:space="preserve">Клиентские приложения</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Веб-приложение </w:t>
      </w:r>
      <w:r>
        <w:rPr>
          <w:rFonts w:ascii="Times New Roman" w:cs="Times New Roman" w:eastAsia="Times New Roman" w:hAnsi="Times New Roman"/>
          <w:sz w:val="28"/>
          <w:szCs w:val="28"/>
        </w:rPr>
        <w:t xml:space="preserve">(React, SPA) — основное приложение для студентов и преподавателей в браузере;</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Мобильное приложение </w:t>
      </w:r>
      <w:r>
        <w:rPr>
          <w:rFonts w:ascii="Times New Roman" w:cs="Times New Roman" w:eastAsia="Times New Roman" w:hAnsi="Times New Roman"/>
          <w:sz w:val="28"/>
          <w:szCs w:val="28"/>
        </w:rPr>
        <w:t xml:space="preserve">(iOS / Android, native либо Flutter / React Native);</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Админ-панель </w:t>
      </w:r>
      <w:r>
        <w:rPr>
          <w:rFonts w:ascii="Times New Roman" w:cs="Times New Roman" w:eastAsia="Times New Roman" w:hAnsi="Times New Roman"/>
          <w:sz w:val="28"/>
          <w:szCs w:val="28"/>
        </w:rPr>
        <w:t xml:space="preserve">(Vue 3) — для администраторов и методистов;</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Личный кабинет родителя </w:t>
      </w:r>
      <w:r>
        <w:rPr>
          <w:rFonts w:ascii="Times New Roman" w:cs="Times New Roman" w:eastAsia="Times New Roman" w:hAnsi="Times New Roman"/>
          <w:sz w:val="28"/>
          <w:szCs w:val="28"/>
        </w:rPr>
        <w:t xml:space="preserve">— упрощённый интерфейс для просмотра успеваемости.</w:t>
      </w:r>
    </w:p>
    <w:p>
      <w:pPr>
        <w:pStyle w:val="Heading3"/>
        <w:spacing w:after="120" w:before="240" w:line="360"/>
      </w:pPr>
      <w:r>
        <w:rPr>
          <w:rFonts w:ascii="Times New Roman" w:cs="Times New Roman" w:eastAsia="Times New Roman" w:hAnsi="Times New Roman"/>
          <w:b/>
          <w:bCs/>
          <w:i/>
          <w:iCs/>
          <w:sz w:val="28"/>
          <w:szCs w:val="28"/>
        </w:rPr>
        <w:t xml:space="preserve">Шлюз API</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API Gateway </w:t>
      </w:r>
      <w:r>
        <w:rPr>
          <w:rFonts w:ascii="Times New Roman" w:cs="Times New Roman" w:eastAsia="Times New Roman" w:hAnsi="Times New Roman"/>
          <w:sz w:val="28"/>
          <w:szCs w:val="28"/>
        </w:rPr>
        <w:t xml:space="preserve">(Kong / Nginx) — единая точка входа всех клиентских запросов; реализует маршрутизацию, аутентификацию, ограничение нагрузки (rate limiting), кэширование, поддержку REST и WebSocket для чата.</w:t>
      </w:r>
    </w:p>
    <w:p>
      <w:pPr>
        <w:pStyle w:val="Heading3"/>
        <w:spacing w:after="120" w:before="240" w:line="360"/>
      </w:pPr>
      <w:r>
        <w:rPr>
          <w:rFonts w:ascii="Times New Roman" w:cs="Times New Roman" w:eastAsia="Times New Roman" w:hAnsi="Times New Roman"/>
          <w:b/>
          <w:bCs/>
          <w:i/>
          <w:iCs/>
          <w:sz w:val="28"/>
          <w:szCs w:val="28"/>
        </w:rPr>
        <w:t xml:space="preserve">Микросервисы бизнес-логики</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Сервис аутентификации </w:t>
      </w:r>
      <w:r>
        <w:rPr>
          <w:rFonts w:ascii="Times New Roman" w:cs="Times New Roman" w:eastAsia="Times New Roman" w:hAnsi="Times New Roman"/>
          <w:sz w:val="28"/>
          <w:szCs w:val="28"/>
        </w:rPr>
        <w:t xml:space="preserve">(Spring Boot) — регистрация, авторизация, выдача JWT-токенов, двухфакторная аутентификация;</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Сервис курсов </w:t>
      </w:r>
      <w:r>
        <w:rPr>
          <w:rFonts w:ascii="Times New Roman" w:cs="Times New Roman" w:eastAsia="Times New Roman" w:hAnsi="Times New Roman"/>
          <w:sz w:val="28"/>
          <w:szCs w:val="28"/>
        </w:rPr>
        <w:t xml:space="preserve">(Spring Boot) — каталог курсов, запись на курсы, контроль доступа;</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Сервис уроков </w:t>
      </w:r>
      <w:r>
        <w:rPr>
          <w:rFonts w:ascii="Times New Roman" w:cs="Times New Roman" w:eastAsia="Times New Roman" w:hAnsi="Times New Roman"/>
          <w:sz w:val="28"/>
          <w:szCs w:val="28"/>
        </w:rPr>
        <w:t xml:space="preserve">(Node.js) — управление уроками, материалами, последовательностью прохождения;</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Сервис тестов </w:t>
      </w:r>
      <w:r>
        <w:rPr>
          <w:rFonts w:ascii="Times New Roman" w:cs="Times New Roman" w:eastAsia="Times New Roman" w:hAnsi="Times New Roman"/>
          <w:sz w:val="28"/>
          <w:szCs w:val="28"/>
        </w:rPr>
        <w:t xml:space="preserve">(Python / Django) — формирование тестов, автоматическая проверка, статистика;</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Сервис прогресса </w:t>
      </w:r>
      <w:r>
        <w:rPr>
          <w:rFonts w:ascii="Times New Roman" w:cs="Times New Roman" w:eastAsia="Times New Roman" w:hAnsi="Times New Roman"/>
          <w:sz w:val="28"/>
          <w:szCs w:val="28"/>
        </w:rPr>
        <w:t xml:space="preserve">(Spring Boot) — отслеживание индивидуального прогресса учащихся;</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Сервис чата </w:t>
      </w:r>
      <w:r>
        <w:rPr>
          <w:rFonts w:ascii="Times New Roman" w:cs="Times New Roman" w:eastAsia="Times New Roman" w:hAnsi="Times New Roman"/>
          <w:sz w:val="28"/>
          <w:szCs w:val="28"/>
        </w:rPr>
        <w:t xml:space="preserve">(Node.js + WebSocket) — реал-тайм чат и форум;</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Сервис уведомлений </w:t>
      </w:r>
      <w:r>
        <w:rPr>
          <w:rFonts w:ascii="Times New Roman" w:cs="Times New Roman" w:eastAsia="Times New Roman" w:hAnsi="Times New Roman"/>
          <w:sz w:val="28"/>
          <w:szCs w:val="28"/>
        </w:rPr>
        <w:t xml:space="preserve">(Python) — рассылка email, SMS, push-уведомлений;</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Сервис аналитики </w:t>
      </w:r>
      <w:r>
        <w:rPr>
          <w:rFonts w:ascii="Times New Roman" w:cs="Times New Roman" w:eastAsia="Times New Roman" w:hAnsi="Times New Roman"/>
          <w:sz w:val="28"/>
          <w:szCs w:val="28"/>
        </w:rPr>
        <w:t xml:space="preserve">(ClickHouse + Python) — построение отчётов и дашбордов;</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Видео-стриминг </w:t>
      </w:r>
      <w:r>
        <w:rPr>
          <w:rFonts w:ascii="Times New Roman" w:cs="Times New Roman" w:eastAsia="Times New Roman" w:hAnsi="Times New Roman"/>
          <w:sz w:val="28"/>
          <w:szCs w:val="28"/>
        </w:rPr>
        <w:t xml:space="preserve">(WebRTC / RTMP-сервер) — потоковое видео уроков;</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Сервис платежей </w:t>
      </w:r>
      <w:r>
        <w:rPr>
          <w:rFonts w:ascii="Times New Roman" w:cs="Times New Roman" w:eastAsia="Times New Roman" w:hAnsi="Times New Roman"/>
          <w:sz w:val="28"/>
          <w:szCs w:val="28"/>
        </w:rPr>
        <w:t xml:space="preserve">(Go) — интеграция с платёжными шлюзами.</w:t>
      </w:r>
    </w:p>
    <w:p>
      <w:pPr>
        <w:pStyle w:val="Heading3"/>
        <w:spacing w:after="120" w:before="240" w:line="360"/>
      </w:pPr>
      <w:r>
        <w:rPr>
          <w:rFonts w:ascii="Times New Roman" w:cs="Times New Roman" w:eastAsia="Times New Roman" w:hAnsi="Times New Roman"/>
          <w:b/>
          <w:bCs/>
          <w:i/>
          <w:iCs/>
          <w:sz w:val="28"/>
          <w:szCs w:val="28"/>
        </w:rPr>
        <w:t xml:space="preserve">Хранилища данных и инфраструктура</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PostgreSQL </w:t>
      </w:r>
      <w:r>
        <w:rPr>
          <w:rFonts w:ascii="Times New Roman" w:cs="Times New Roman" w:eastAsia="Times New Roman" w:hAnsi="Times New Roman"/>
          <w:sz w:val="28"/>
          <w:szCs w:val="28"/>
        </w:rPr>
        <w:t xml:space="preserve">— основная реляционная БД (пользователи, курсы, уроки);</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Redis </w:t>
      </w:r>
      <w:r>
        <w:rPr>
          <w:rFonts w:ascii="Times New Roman" w:cs="Times New Roman" w:eastAsia="Times New Roman" w:hAnsi="Times New Roman"/>
          <w:sz w:val="28"/>
          <w:szCs w:val="28"/>
        </w:rPr>
        <w:t xml:space="preserve">— кэш данных и хранение сессий;</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S3 / MinIO </w:t>
      </w:r>
      <w:r>
        <w:rPr>
          <w:rFonts w:ascii="Times New Roman" w:cs="Times New Roman" w:eastAsia="Times New Roman" w:hAnsi="Times New Roman"/>
          <w:sz w:val="28"/>
          <w:szCs w:val="28"/>
        </w:rPr>
        <w:t xml:space="preserve">— объектное хранилище видео, презентаций, документов;</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Apache Kafka </w:t>
      </w:r>
      <w:r>
        <w:rPr>
          <w:rFonts w:ascii="Times New Roman" w:cs="Times New Roman" w:eastAsia="Times New Roman" w:hAnsi="Times New Roman"/>
          <w:sz w:val="28"/>
          <w:szCs w:val="28"/>
        </w:rPr>
        <w:t xml:space="preserve">— брокер сообщений для асинхронного обмена событиями между сервисами;</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ClickHouse </w:t>
      </w:r>
      <w:r>
        <w:rPr>
          <w:rFonts w:ascii="Times New Roman" w:cs="Times New Roman" w:eastAsia="Times New Roman" w:hAnsi="Times New Roman"/>
          <w:sz w:val="28"/>
          <w:szCs w:val="28"/>
        </w:rPr>
        <w:t xml:space="preserve">— колоночная аналитическая СУБД для отчётов;</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Elasticsearch + Kibana </w:t>
      </w:r>
      <w:r>
        <w:rPr>
          <w:rFonts w:ascii="Times New Roman" w:cs="Times New Roman" w:eastAsia="Times New Roman" w:hAnsi="Times New Roman"/>
          <w:sz w:val="28"/>
          <w:szCs w:val="28"/>
        </w:rPr>
        <w:t xml:space="preserve">— полнотекстовый поиск по контенту и централизованные логи.</w:t>
      </w:r>
    </w:p>
    <w:p>
      <w:pPr>
        <w:spacing w:after="120" w:line="360"/>
        <w:ind w:firstLine="720"/>
        <w:jc w:val="both"/>
      </w:pPr>
      <w:r>
        <w:rPr>
          <w:rFonts w:ascii="Times New Roman" w:cs="Times New Roman" w:eastAsia="Times New Roman" w:hAnsi="Times New Roman"/>
          <w:sz w:val="28"/>
          <w:szCs w:val="28"/>
        </w:rPr>
        <w:t xml:space="preserve">Диаграмма уровня 2 представлена на рисунке 2.</w:t>
      </w:r>
    </w:p>
    <w:p>
      <w:pPr>
        <w:spacing w:after="120" w:before="240"/>
        <w:jc w:val="center"/>
      </w:pPr>
      <w:r>
        <w:drawing>
          <wp:inline distT="0" distB="0" distL="0" distR="0">
            <wp:extent cx="5905500" cy="37338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5905500" cy="3733800"/>
                    </a:xfrm>
                    <a:prstGeom prst="rect">
                      <a:avLst/>
                    </a:prstGeom>
                  </pic:spPr>
                </pic:pic>
              </a:graphicData>
            </a:graphic>
          </wp:inline>
        </w:drawing>
      </w:r>
    </w:p>
    <w:p>
      <w:pPr>
        <w:spacing w:after="240"/>
        <w:jc w:val="center"/>
      </w:pPr>
      <w:r>
        <w:rPr>
          <w:rFonts w:ascii="Times New Roman" w:cs="Times New Roman" w:eastAsia="Times New Roman" w:hAnsi="Times New Roman"/>
          <w:i/>
          <w:iCs/>
          <w:sz w:val="24"/>
          <w:szCs w:val="24"/>
        </w:rPr>
        <w:t xml:space="preserve">Рисунок 2 — Уровень 2 (Containers): контейнеры системы дистанционного обучения</w:t>
      </w:r>
    </w:p>
    <w:p>
      <w:pPr>
        <w:pStyle w:val="Heading2"/>
        <w:spacing w:after="180" w:before="300" w:line="360"/>
      </w:pPr>
      <w:r>
        <w:rPr>
          <w:rFonts w:ascii="Times New Roman" w:cs="Times New Roman" w:eastAsia="Times New Roman" w:hAnsi="Times New Roman"/>
          <w:b/>
          <w:bCs/>
          <w:sz w:val="30"/>
          <w:szCs w:val="30"/>
        </w:rPr>
        <w:t xml:space="preserve">3.5. Уровень 3 — Компоненты</w:t>
      </w:r>
    </w:p>
    <w:p>
      <w:pPr>
        <w:spacing w:after="120" w:line="360"/>
        <w:ind w:firstLine="720"/>
        <w:jc w:val="both"/>
      </w:pPr>
      <w:r>
        <w:rPr>
          <w:rFonts w:ascii="Times New Roman" w:cs="Times New Roman" w:eastAsia="Times New Roman" w:hAnsi="Times New Roman"/>
          <w:sz w:val="28"/>
          <w:szCs w:val="28"/>
        </w:rPr>
        <w:t xml:space="preserve">На уровне компонентов раскрывается внутреннее устройство одного из контейнеров. Для иллюстрации выбран ключевой бизнес-контейнер — сервис курсов (Course Service), реализованный на Spring Boot. Внутри него выделяются типовые слои многоуровневой архитектуры: контроллеры, сервисы, репозитории и адаптеры внешних взаимодействий.</w:t>
      </w:r>
    </w:p>
    <w:p>
      <w:pPr>
        <w:spacing w:after="120" w:line="360"/>
        <w:ind w:firstLine="720"/>
        <w:jc w:val="both"/>
      </w:pPr>
      <w:r>
        <w:rPr>
          <w:rFonts w:ascii="Times New Roman" w:cs="Times New Roman" w:eastAsia="Times New Roman" w:hAnsi="Times New Roman"/>
          <w:sz w:val="28"/>
          <w:szCs w:val="28"/>
        </w:rPr>
        <w:t xml:space="preserve">Компоненты сервиса курсов:</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AuthFilter </w:t>
      </w:r>
      <w:r>
        <w:rPr>
          <w:rFonts w:ascii="Times New Roman" w:cs="Times New Roman" w:eastAsia="Times New Roman" w:hAnsi="Times New Roman"/>
          <w:sz w:val="28"/>
          <w:szCs w:val="28"/>
        </w:rPr>
        <w:t xml:space="preserve">— фильтр в цепочке Spring Security, проверяющий JWT-токен на каждом входящем запросе перед передачей в контроллеры. Если токен невалиден — возврат 401 Unauthorized;</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CourseController </w:t>
      </w:r>
      <w:r>
        <w:rPr>
          <w:rFonts w:ascii="Times New Roman" w:cs="Times New Roman" w:eastAsia="Times New Roman" w:hAnsi="Times New Roman"/>
          <w:sz w:val="28"/>
          <w:szCs w:val="28"/>
        </w:rPr>
        <w:t xml:space="preserve">— REST-контроллер CRUD-операций над курсами (GET /courses, POST /courses, и т. д.);</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EnrollmentController </w:t>
      </w:r>
      <w:r>
        <w:rPr>
          <w:rFonts w:ascii="Times New Roman" w:cs="Times New Roman" w:eastAsia="Times New Roman" w:hAnsi="Times New Roman"/>
          <w:sz w:val="28"/>
          <w:szCs w:val="28"/>
        </w:rPr>
        <w:t xml:space="preserve">— REST-контроллер запись и снятие с курса;</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CourseService </w:t>
      </w:r>
      <w:r>
        <w:rPr>
          <w:rFonts w:ascii="Times New Roman" w:cs="Times New Roman" w:eastAsia="Times New Roman" w:hAnsi="Times New Roman"/>
          <w:sz w:val="28"/>
          <w:szCs w:val="28"/>
        </w:rPr>
        <w:t xml:space="preserve">— ядро бизнес-логики работы с курсами: создание, поиск, валидация прав доступа;</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EnrollmentService </w:t>
      </w:r>
      <w:r>
        <w:rPr>
          <w:rFonts w:ascii="Times New Roman" w:cs="Times New Roman" w:eastAsia="Times New Roman" w:hAnsi="Times New Roman"/>
          <w:sz w:val="28"/>
          <w:szCs w:val="28"/>
        </w:rPr>
        <w:t xml:space="preserve">— логика записи на курс: проверка наличия мест, оплаты, статуса учащегося;</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CourseRepository </w:t>
      </w:r>
      <w:r>
        <w:rPr>
          <w:rFonts w:ascii="Times New Roman" w:cs="Times New Roman" w:eastAsia="Times New Roman" w:hAnsi="Times New Roman"/>
          <w:sz w:val="28"/>
          <w:szCs w:val="28"/>
        </w:rPr>
        <w:t xml:space="preserve">— слой доступа к данным через JPA / Hibernate; работает с PostgreSQL;</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EventPublisher </w:t>
      </w:r>
      <w:r>
        <w:rPr>
          <w:rFonts w:ascii="Times New Roman" w:cs="Times New Roman" w:eastAsia="Times New Roman" w:hAnsi="Times New Roman"/>
          <w:sz w:val="28"/>
          <w:szCs w:val="28"/>
        </w:rPr>
        <w:t xml:space="preserve">— адаптер публикации доменных событий в Kafka («курс создан», «студент записан»);</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CacheManager </w:t>
      </w:r>
      <w:r>
        <w:rPr>
          <w:rFonts w:ascii="Times New Roman" w:cs="Times New Roman" w:eastAsia="Times New Roman" w:hAnsi="Times New Roman"/>
          <w:sz w:val="28"/>
          <w:szCs w:val="28"/>
        </w:rPr>
        <w:t xml:space="preserve">— адаптер работы с Redis; кэширует часто запрашиваемые курсы для снижения нагрузки на БД.</w:t>
      </w:r>
    </w:p>
    <w:p>
      <w:pPr>
        <w:spacing w:after="120" w:line="360"/>
        <w:ind w:firstLine="720"/>
        <w:jc w:val="both"/>
      </w:pPr>
      <w:r>
        <w:rPr>
          <w:rFonts w:ascii="Times New Roman" w:cs="Times New Roman" w:eastAsia="Times New Roman" w:hAnsi="Times New Roman"/>
          <w:sz w:val="28"/>
          <w:szCs w:val="28"/>
        </w:rPr>
        <w:t xml:space="preserve">Диаграмма уровня 3 представлена на рисунке 3.</w:t>
      </w:r>
    </w:p>
    <w:p>
      <w:pPr>
        <w:spacing w:after="120" w:before="240"/>
        <w:jc w:val="center"/>
      </w:pPr>
      <w:r>
        <w:drawing>
          <wp:inline distT="0" distB="0" distL="0" distR="0">
            <wp:extent cx="5715000" cy="30099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5715000" cy="3009900"/>
                    </a:xfrm>
                    <a:prstGeom prst="rect">
                      <a:avLst/>
                    </a:prstGeom>
                  </pic:spPr>
                </pic:pic>
              </a:graphicData>
            </a:graphic>
          </wp:inline>
        </w:drawing>
      </w:r>
    </w:p>
    <w:p>
      <w:pPr>
        <w:spacing w:after="240"/>
        <w:jc w:val="center"/>
      </w:pPr>
      <w:r>
        <w:rPr>
          <w:rFonts w:ascii="Times New Roman" w:cs="Times New Roman" w:eastAsia="Times New Roman" w:hAnsi="Times New Roman"/>
          <w:i/>
          <w:iCs/>
          <w:sz w:val="24"/>
          <w:szCs w:val="24"/>
        </w:rPr>
        <w:t xml:space="preserve">Рисунок 3 — Уровень 3 (Components): компоненты сервиса курсов</w:t>
      </w:r>
    </w:p>
    <w:p>
      <w:pPr>
        <w:pStyle w:val="Heading2"/>
        <w:spacing w:after="180" w:before="300" w:line="360"/>
      </w:pPr>
      <w:r>
        <w:rPr>
          <w:rFonts w:ascii="Times New Roman" w:cs="Times New Roman" w:eastAsia="Times New Roman" w:hAnsi="Times New Roman"/>
          <w:b/>
          <w:bCs/>
          <w:sz w:val="30"/>
          <w:szCs w:val="30"/>
        </w:rPr>
        <w:t xml:space="preserve">3.6. Технология построения диаграмм</w:t>
      </w:r>
    </w:p>
    <w:p>
      <w:pPr>
        <w:spacing w:after="120" w:line="360"/>
        <w:ind w:firstLine="720"/>
        <w:jc w:val="both"/>
      </w:pPr>
      <w:r>
        <w:rPr>
          <w:rFonts w:ascii="Times New Roman" w:cs="Times New Roman" w:eastAsia="Times New Roman" w:hAnsi="Times New Roman"/>
          <w:sz w:val="28"/>
          <w:szCs w:val="28"/>
        </w:rPr>
        <w:t xml:space="preserve">Все три диаграммы построены программно — Python-скриптом generate_c4_diagrams.py, использующим библиотеку cairosvg для конвертации SVG в PNG. Преимущества такого подхода: воспроизводимость результата (любой может перезапустить скрипт и получить идентичные диаграммы), удобство версионирования, простота внесения изменений. Альтернативные инструменты, поддерживающие нотацию C4: облачный сервис Structurizr (Саймона Брауна, автора нотации), PlantUML с расширением C4-PlantUML, draw.io с готовыми наборами фигур, российский Yandex Wiki.</w:t>
      </w:r>
    </w:p>
    <w:p>
      <w:pPr>
        <w:spacing w:after="120" w:line="360"/>
        <w:ind w:firstLine="720"/>
        <w:jc w:val="both"/>
      </w:pPr>
      <w:r>
        <w:rPr>
          <w:rFonts w:ascii="Times New Roman" w:cs="Times New Roman" w:eastAsia="Times New Roman" w:hAnsi="Times New Roman"/>
          <w:sz w:val="28"/>
          <w:szCs w:val="28"/>
        </w:rPr>
        <w:t xml:space="preserve">Для воспроизведения диаграмм у себя на компьютере достаточно установить cairosvg одной командой и запустить скрипт:</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888888" w:sz="4"/>
              <w:left w:val="single" w:color="888888" w:sz="4"/>
              <w:bottom w:val="single" w:color="888888" w:sz="4"/>
              <w:right w:val="single" w:color="888888" w:sz="4"/>
            </w:tcBorders>
            <w:shd w:fill="F5F5F5" w:val="clear"/>
            <w:tcMar>
              <w:top w:type="dxa" w:w="120"/>
              <w:left w:type="dxa" w:w="160"/>
              <w:bottom w:type="dxa" w:w="120"/>
              <w:right w:type="dxa" w:w="160"/>
            </w:tcMar>
          </w:tcPr>
          <w:p>
            <w:pPr>
              <w:spacing w:after="0" w:line="280"/>
              <w:jc w:val="left"/>
            </w:pPr>
            <w:r>
              <w:rPr>
                <w:rFonts w:ascii="Consolas" w:cs="Consolas" w:eastAsia="Consolas" w:hAnsi="Consolas"/>
                <w:sz w:val="22"/>
                <w:szCs w:val="22"/>
              </w:rPr>
              <w:t xml:space="preserve">pip install cairosvg</w:t>
            </w:r>
          </w:p>
          <w:p>
            <w:pPr>
              <w:spacing w:after="0" w:line="280"/>
              <w:jc w:val="left"/>
            </w:pPr>
            <w:r>
              <w:rPr>
                <w:rFonts w:ascii="Consolas" w:cs="Consolas" w:eastAsia="Consolas" w:hAnsi="Consolas"/>
                <w:sz w:val="22"/>
                <w:szCs w:val="22"/>
              </w:rPr>
              <w:t xml:space="preserve">python generate_c4_diagrams.py</w:t>
            </w:r>
          </w:p>
        </w:tc>
      </w:tr>
    </w:tbl>
    <w:p>
      <w:pPr>
        <w:spacing w:after="120"/>
      </w:pPr>
      <w:r>
        <w:rPr>
          <w:rFonts w:ascii="Times New Roman" w:cs="Times New Roman" w:eastAsia="Times New Roman" w:hAnsi="Times New Roman"/>
          <w:sz w:val="28"/>
          <w:szCs w:val="28"/>
        </w:rPr>
        <w:t xml:space="preserve"/>
      </w:r>
    </w:p>
    <w:p>
      <w:pPr>
        <w:spacing w:after="120" w:line="360"/>
        <w:ind w:firstLine="720"/>
        <w:jc w:val="both"/>
      </w:pPr>
      <w:r>
        <w:rPr>
          <w:rFonts w:ascii="Times New Roman" w:cs="Times New Roman" w:eastAsia="Times New Roman" w:hAnsi="Times New Roman"/>
          <w:sz w:val="28"/>
          <w:szCs w:val="28"/>
        </w:rPr>
        <w:t xml:space="preserve">На выходе будут созданы 6 файлов: три SVG (векторных) и три PNG (растровых) — для каждого из уровней Context, Containers, Components.</w:t>
      </w:r>
    </w:p>
    <w:p>
      <w:pPr>
        <w:pStyle w:val="Heading2"/>
        <w:spacing w:after="180" w:before="300" w:line="360"/>
      </w:pPr>
      <w:r>
        <w:rPr>
          <w:rFonts w:ascii="Times New Roman" w:cs="Times New Roman" w:eastAsia="Times New Roman" w:hAnsi="Times New Roman"/>
          <w:b/>
          <w:bCs/>
          <w:sz w:val="30"/>
          <w:szCs w:val="30"/>
        </w:rPr>
        <w:t xml:space="preserve">Выводы по вопросу 3</w:t>
      </w:r>
    </w:p>
    <w:p>
      <w:pPr>
        <w:spacing w:after="120" w:line="360"/>
        <w:ind w:firstLine="720"/>
        <w:jc w:val="both"/>
      </w:pPr>
      <w:r>
        <w:rPr>
          <w:rFonts w:ascii="Times New Roman" w:cs="Times New Roman" w:eastAsia="Times New Roman" w:hAnsi="Times New Roman"/>
          <w:sz w:val="28"/>
          <w:szCs w:val="28"/>
        </w:rPr>
        <w:t xml:space="preserve">Архитектура системы дистанционного обучения спроектирована в соответствии с нотацией C4 Саймона Брауна на трёх требуемых уровнях детализации. На уровне 1 (Context) система представлена в окружении четырёх категорий пользователей (студент, преподаватель, администратор, родитель) и пяти внешних систем (платёжный шлюз, email, видеоконференции, SMS, антиплагиат). На уровне 2 (Containers) система раскрыта как набор из четырёх клиентских приложений, API Gateway, десяти микросервисов бизнес-логики и шести инфраструктурных контейнеров (PostgreSQL, Redis, S3, Kafka, ClickHouse, Elasticsearch). На уровне 3 (Components) детализировано внутреннее устройство ключевого сервиса курсов: восемь компонентов, организованных в четыре слоя многоуровневой архитектуры — фильтры, контроллеры, сервисы, адаптеры. Диаграммы построены воспроизводимым программным способом через SVG и Python-библиотеку cairosvg, что обеспечивает версионируемость и автоматизируемость их модификации в процессе развития системы.</w:t>
      </w:r>
    </w:p>
    <w:sectPr>
      <w:headerReference w:type="default" r:id="rId7"/>
      <w:footerReference w:type="default" r:id="rId8"/>
      <w:pgSz w:w="11906" w:h="16838" w:orient="portrait"/>
      <w:pgMar w:top="1134" w:right="1134" w:bottom="1134" w:left="1701"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Times New Roman" w:cs="Times New Roman" w:eastAsia="Times New Roman" w:hAnsi="Times New Roman"/>
        <w:sz w:val="22"/>
        <w:szCs w:val="22"/>
      </w:rPr>
      <w:t xml:space="preserve">Стр. </w:t>
      <w:fldChar w:fldCharType="begin"/>
      <w:instrText xml:space="preserve">PAGE</w:instrText>
      <w:fldChar w:fldCharType="separate"/>
      <w:fldChar w:fldCharType="end"/>
      <w:t xml:space="preserve"> из </w:t>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Times New Roman" w:cs="Times New Roman" w:eastAsia="Times New Roman" w:hAnsi="Times New Roman"/>
        <w:i/>
        <w:iCs/>
        <w:sz w:val="22"/>
        <w:szCs w:val="22"/>
      </w:rPr>
      <w:t xml:space="preserve">Билет № 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8"/>
        <w:szCs w:val="28"/>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360" w:line="360"/>
      <w:jc w:val="center"/>
      <w:outlineLvl w:val="0"/>
    </w:pPr>
    <w:rPr>
      <w:rFonts w:ascii="Times New Roman" w:cs="Times New Roman" w:eastAsia="Times New Roman" w:hAnsi="Times New Roman"/>
      <w:b/>
      <w:bCs/>
      <w:sz w:val="32"/>
      <w:szCs w:val="32"/>
    </w:rPr>
  </w:style>
  <w:style w:type="paragraph" w:styleId="Heading2">
    <w:name w:val="Heading 2"/>
    <w:basedOn w:val="Normal"/>
    <w:next w:val="Normal"/>
    <w:qFormat/>
    <w:pPr>
      <w:spacing w:after="180" w:before="300" w:line="360"/>
      <w:outlineLvl w:val="1"/>
    </w:pPr>
    <w:rPr>
      <w:rFonts w:ascii="Times New Roman" w:cs="Times New Roman" w:eastAsia="Times New Roman" w:hAnsi="Times New Roman"/>
      <w:b/>
      <w:bCs/>
      <w:sz w:val="30"/>
      <w:szCs w:val="30"/>
    </w:rPr>
  </w:style>
  <w:style w:type="paragraph" w:styleId="Heading3">
    <w:name w:val="Heading 3"/>
    <w:basedOn w:val="Normal"/>
    <w:next w:val="Normal"/>
    <w:qFormat/>
    <w:pPr>
      <w:spacing w:after="120" w:before="240" w:line="360"/>
      <w:outlineLvl w:val="2"/>
    </w:pPr>
    <w:rPr>
      <w:rFonts w:ascii="Times New Roman" w:cs="Times New Roman" w:eastAsia="Times New Roman" w:hAnsi="Times New Roman"/>
      <w:b/>
      <w:bCs/>
      <w:i/>
      <w:iCs/>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e3d1d2f1e408453d6fa7c38b5b19eed73724db25.png"/><Relationship Id="rId10" Type="http://schemas.openxmlformats.org/officeDocument/2006/relationships/image" Target="media/e0b7d876c89762e43ac6ffe8a73a1863578886d9.png"/><Relationship Id="rId11" Type="http://schemas.openxmlformats.org/officeDocument/2006/relationships/image" Target="media/49a5812ab8a59aec7105941c5a888c4a7f9c8d26.png"/><Relationship Id="rId12"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2026-05-26T14:48:24.362Z</dcterms:created>
  <dcterms:modified xsi:type="dcterms:W3CDTF">2026-05-26T14:48:24.374Z</dcterms:modified>
</cp:coreProperties>
</file>

<file path=docProps/custom.xml><?xml version="1.0" encoding="utf-8"?>
<Properties xmlns="http://schemas.openxmlformats.org/officeDocument/2006/custom-properties" xmlns:vt="http://schemas.openxmlformats.org/officeDocument/2006/docPropsVTypes"/>
</file>