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400" w:before="1200"/>
        <w:jc w:val="center"/>
      </w:pPr>
      <w:r>
        <w:rPr>
          <w:rFonts w:ascii="Times New Roman" w:cs="Times New Roman" w:eastAsia="Times New Roman" w:hAnsi="Times New Roman"/>
          <w:b/>
          <w:bCs/>
          <w:sz w:val="24"/>
          <w:szCs w:val="24"/>
        </w:rPr>
        <w:t xml:space="preserve">Министерство цифрового развития, связи и массовых коммуникаций</w:t>
      </w:r>
    </w:p>
    <w:p>
      <w:pPr>
        <w:spacing w:after="200"/>
        <w:jc w:val="center"/>
      </w:pPr>
      <w:r>
        <w:rPr>
          <w:rFonts w:ascii="Times New Roman" w:cs="Times New Roman" w:eastAsia="Times New Roman" w:hAnsi="Times New Roman"/>
          <w:b/>
          <w:bCs/>
          <w:sz w:val="24"/>
          <w:szCs w:val="24"/>
        </w:rPr>
        <w:t xml:space="preserve">Российской Федерации</w:t>
      </w:r>
    </w:p>
    <w:p>
      <w:pPr>
        <w:spacing w:after="200"/>
        <w:jc w:val="center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ФГБОУ ВО «Сибирский государственный университет телекоммуникаций и информатики»</w:t>
      </w:r>
    </w:p>
    <w:p>
      <w:pPr>
        <w:spacing w:after="1000"/>
        <w:jc w:val="center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Уральский технический институт связи и информатики (УрТИСИ СибГУТИ)</w:t>
      </w:r>
    </w:p>
    <w:p>
      <w:pPr>
        <w:spacing w:after="200"/>
        <w:jc w:val="center"/>
      </w:pPr>
      <w:r>
        <w:rPr>
          <w:rFonts w:ascii="Times New Roman" w:cs="Times New Roman" w:eastAsia="Times New Roman" w:hAnsi="Times New Roman"/>
          <w:b/>
          <w:bCs/>
          <w:sz w:val="36"/>
          <w:szCs w:val="36"/>
        </w:rPr>
        <w:t xml:space="preserve">ОТВЕТЫ НА ЭКЗАМЕНАЦИОННЫЙ БИЛЕТ № 7</w:t>
      </w:r>
    </w:p>
    <w:p>
      <w:pPr>
        <w:spacing w:after="400"/>
        <w:jc w:val="center"/>
      </w:pPr>
      <w:r>
        <w:rPr>
          <w:rFonts w:ascii="Times New Roman" w:cs="Times New Roman" w:eastAsia="Times New Roman" w:hAnsi="Times New Roman"/>
          <w:i/>
          <w:iCs/>
          <w:sz w:val="26"/>
          <w:szCs w:val="26"/>
        </w:rPr>
        <w:t xml:space="preserve">Итоговый государственный междисциплинарный экзамен</w:t>
      </w:r>
    </w:p>
    <w:p>
      <w:pPr>
        <w:spacing w:after="200"/>
        <w:jc w:val="center"/>
      </w:pPr>
      <w:r>
        <w:rPr>
          <w:rFonts w:ascii="Times New Roman" w:cs="Times New Roman" w:eastAsia="Times New Roman" w:hAnsi="Times New Roman"/>
          <w:sz w:val="26"/>
          <w:szCs w:val="26"/>
        </w:rPr>
        <w:t xml:space="preserve">Направление подготовки 09.04.01 «Информатика и вычислительная техника»</w:t>
      </w:r>
    </w:p>
    <w:p>
      <w:pPr>
        <w:spacing w:after="800"/>
        <w:jc w:val="center"/>
      </w:pPr>
      <w:r>
        <w:rPr>
          <w:rFonts w:ascii="Times New Roman" w:cs="Times New Roman" w:eastAsia="Times New Roman" w:hAnsi="Times New Roman"/>
          <w:sz w:val="26"/>
          <w:szCs w:val="26"/>
        </w:rPr>
        <w:t xml:space="preserve">Профиль: «Инженерия программного обеспечения и информационных систем»</w:t>
      </w:r>
    </w:p>
    <w:p>
      <w:pPr>
        <w:spacing w:after="240" w:before="600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Вопросы билета:</w:t>
      </w:r>
    </w:p>
    <w:p>
      <w:pPr>
        <w:spacing w:after="120"/>
        <w:ind w:firstLine="72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1. Какие методы обнаружения выбросов имеются?</w:t>
      </w:r>
    </w:p>
    <w:p>
      <w:pPr>
        <w:spacing w:after="120"/>
        <w:ind w:firstLine="72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2. Опишите многоуровневую архитектуру распределённых систем. Приведите примеры.</w:t>
      </w:r>
    </w:p>
    <w:p>
      <w:pPr>
        <w:spacing w:after="120"/>
        <w:ind w:firstLine="72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3. Определить компоненты, объекты, действия процесса и последовательность действий при построении модели BPMN. Построить модель BPMN решения задачи для системы «Изготовление ПО на заказ».</w:t>
      </w:r>
    </w:p>
    <w:p>
      <w:r>
        <w:br w:type="page"/>
      </w:r>
    </w:p>
    <w:p>
      <w:pPr>
        <w:pStyle w:val="Heading1"/>
        <w:spacing w:after="240" w:before="360" w:line="360"/>
        <w:jc w:val="center"/>
      </w:pPr>
      <w:r>
        <w:rPr>
          <w:rFonts w:ascii="Times New Roman" w:cs="Times New Roman" w:eastAsia="Times New Roman" w:hAnsi="Times New Roman"/>
          <w:b/>
          <w:bCs/>
          <w:sz w:val="32"/>
          <w:szCs w:val="32"/>
        </w:rPr>
        <w:t xml:space="preserve">Вопрос 1. Методы обнаружения выбросов</w:t>
      </w:r>
    </w:p>
    <w:p>
      <w:pPr>
        <w:pStyle w:val="Heading2"/>
        <w:spacing w:after="180" w:before="300" w:line="360"/>
      </w:pPr>
      <w:r>
        <w:rPr>
          <w:rFonts w:ascii="Times New Roman" w:cs="Times New Roman" w:eastAsia="Times New Roman" w:hAnsi="Times New Roman"/>
          <w:b/>
          <w:bCs/>
          <w:sz w:val="30"/>
          <w:szCs w:val="30"/>
        </w:rPr>
        <w:t xml:space="preserve">1.1. Понятие выброса</w:t>
      </w:r>
    </w:p>
    <w:p>
      <w:pPr>
        <w:spacing w:after="120" w:line="360"/>
        <w:ind w:firstLine="72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Выброс (outlier) — это наблюдение в наборе данных, значение которого существенно отличается от подавляющего большинства остальных наблюдений. Классическое определение Дугласа Хокинса (1980) звучит так: «выброс — это наблюдение, которое настолько отклоняется от других, что вызывает подозрение, не было ли оно сгенерировано иным механизмом». Близкое, но не тождественное понятие — аномалия (anomaly), под которой обычно понимают редкие события содержательного смысла (мошенничество, поломка оборудования, кибератака), в то время как «выброс» чаще означает статистическое отклонение.</w:t>
      </w:r>
    </w:p>
    <w:p>
      <w:pPr>
        <w:spacing w:after="120" w:line="360"/>
        <w:ind w:firstLine="72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По природе возникновения выбросы разделяются на четыре категории: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Ошибки измерения (датчик дал сбой, оператор ошибся при вводе);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Ошибки записи (двойной ввод, неверная единица измерения);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Точечные аномалии — единичные нетипичные наблюдения;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Контекстные аномалии — нормальные значения в нетипичном контексте (тёплая погода зимой);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Коллективные аномалии — группы наблюдений, аномальные именно как группа.</w:t>
      </w:r>
    </w:p>
    <w:p>
      <w:pPr>
        <w:spacing w:after="120" w:line="360"/>
        <w:ind w:firstLine="72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Обнаружение выбросов является обязательным этапом в любой задаче машинного обучения, поскольку: классические статистики (среднее, дисперсия, коэффициент корреляции Пирсона) и регрессионные модели крайне чувствительны к выбросам; обучение деревьев и нейросетей на нечистых данных приводит к переобучению на шуме; в специальных задачах (фрод-детекция, предсказание поломок, медицинская диагностика) сами аномалии и являются предметом интереса.</w:t>
      </w:r>
    </w:p>
    <w:p>
      <w:pPr>
        <w:pStyle w:val="Heading2"/>
        <w:spacing w:after="180" w:before="300" w:line="360"/>
      </w:pPr>
      <w:r>
        <w:rPr>
          <w:rFonts w:ascii="Times New Roman" w:cs="Times New Roman" w:eastAsia="Times New Roman" w:hAnsi="Times New Roman"/>
          <w:b/>
          <w:bCs/>
          <w:sz w:val="30"/>
          <w:szCs w:val="30"/>
        </w:rPr>
        <w:t xml:space="preserve">1.2. Классификация методов обнаружения</w:t>
      </w:r>
    </w:p>
    <w:p>
      <w:pPr>
        <w:spacing w:after="120" w:line="360"/>
        <w:ind w:firstLine="72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Существующие методы обнаружения выбросов могут быть систематизированы по нескольким признакам: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По размерности данных — одномерные и многомерные;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По характеру алгоритма — статистические, на основе расстояний, на основе плотности, на основе моделей машинного обучения;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По наличию разметки — без учителя (большинство методов), полу-supervised, с учителем (когда есть размеченные аномалии);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По типу данных — для табличных, для временных рядов, для изображений и графов.</w:t>
      </w:r>
    </w:p>
    <w:p>
      <w:pPr>
        <w:spacing w:after="120" w:line="360"/>
        <w:ind w:firstLine="72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Обзор основных методов, сгруппированных по характеру алгоритма, представлен в таблице.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300"/>
        <w:gridCol w:w="2400"/>
        <w:gridCol w:w="4660"/>
      </w:tblGrid>
      <w:tr>
        <w:trPr>
          <w:tblHeader/>
        </w:trPr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D9E2F3" w:val="clear"/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center"/>
            </w:pPr>
            <w:r>
              <w:rPr>
                <w:rFonts w:ascii="Times New Roman" w:cs="Times New Roman" w:eastAsia="Times New Roman" w:hAnsi="Times New Roman"/>
                <w:b/>
                <w:bCs/>
                <w:sz w:val="24"/>
                <w:szCs w:val="24"/>
              </w:rPr>
              <w:t xml:space="preserve">Группа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D9E2F3" w:val="clear"/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center"/>
            </w:pPr>
            <w:r>
              <w:rPr>
                <w:rFonts w:ascii="Times New Roman" w:cs="Times New Roman" w:eastAsia="Times New Roman" w:hAnsi="Times New Roman"/>
                <w:b/>
                <w:bCs/>
                <w:sz w:val="24"/>
                <w:szCs w:val="24"/>
              </w:rPr>
              <w:t xml:space="preserve">Метод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D9E2F3" w:val="clear"/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center"/>
            </w:pPr>
            <w:r>
              <w:rPr>
                <w:rFonts w:ascii="Times New Roman" w:cs="Times New Roman" w:eastAsia="Times New Roman" w:hAnsi="Times New Roman"/>
                <w:b/>
                <w:bCs/>
                <w:sz w:val="24"/>
                <w:szCs w:val="24"/>
              </w:rPr>
              <w:t xml:space="preserve">Назначение и принцип</w:t>
            </w:r>
          </w:p>
        </w:tc>
      </w:tr>
      <w:tr>
        <w:trPr>
          <w:tblHeader w:val="false"/>
        </w:trPr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Одномерные статистические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Правило 3-сигм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Точка считается выбросом, если |x − μ| &gt; 3σ; требует нормальности распределения</w:t>
            </w:r>
          </w:p>
        </w:tc>
      </w:tr>
      <w:tr>
        <w:trPr>
          <w:tblHeader w:val="false"/>
        </w:trPr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/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Z-score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z = (x − μ) / σ; типичный порог |z| &gt; 3</w:t>
            </w:r>
          </w:p>
        </w:tc>
      </w:tr>
      <w:tr>
        <w:trPr>
          <w:tblHeader w:val="false"/>
        </w:trPr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/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Modified Z-score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Использует медиану и MAD вместо среднего; устойчив к выбросам</w:t>
            </w:r>
          </w:p>
        </w:tc>
      </w:tr>
      <w:tr>
        <w:trPr>
          <w:tblHeader w:val="false"/>
        </w:trPr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/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IQR (метод Тьюки)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Выбросом считается x &lt; Q1 − 1,5·IQR или x &gt; Q3 + 1,5·IQR</w:t>
            </w:r>
          </w:p>
        </w:tc>
      </w:tr>
      <w:tr>
        <w:trPr>
          <w:tblHeader w:val="false"/>
        </w:trPr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/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Критерий Граббса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Тестирует наличие одного выброса; работает при нормальном распределении</w:t>
            </w:r>
          </w:p>
        </w:tc>
      </w:tr>
      <w:tr>
        <w:trPr>
          <w:tblHeader w:val="false"/>
        </w:trPr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/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Критерий Диксона, Шовене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Аналоги для малых выборок</w:t>
            </w:r>
          </w:p>
        </w:tc>
      </w:tr>
      <w:tr>
        <w:trPr>
          <w:tblHeader w:val="false"/>
        </w:trPr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Многомерные статистические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Расстояние Махаланобиса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Учитывает корреляцию признаков; |D_M(x)|² подчиняется χ²</w:t>
            </w:r>
          </w:p>
        </w:tc>
      </w:tr>
      <w:tr>
        <w:trPr>
          <w:tblHeader w:val="false"/>
        </w:trPr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/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GMM (смесь гауссиан)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Точки с низкой плотностью считаются выбросами</w:t>
            </w:r>
          </w:p>
        </w:tc>
      </w:tr>
      <w:tr>
        <w:trPr>
          <w:tblHeader w:val="false"/>
        </w:trPr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ML-методы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Isolation Forest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Деревья случайных разбиений; выбросы изолируются за малое число шагов (Liu, 2008)</w:t>
            </w:r>
          </w:p>
        </w:tc>
      </w:tr>
      <w:tr>
        <w:trPr>
          <w:tblHeader w:val="false"/>
        </w:trPr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/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LOF (Local Outlier Factor)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Сравнивает локальную плотность точки с её соседями</w:t>
            </w:r>
          </w:p>
        </w:tc>
      </w:tr>
      <w:tr>
        <w:trPr>
          <w:tblHeader w:val="false"/>
        </w:trPr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/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One-Class SVM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Ищет границу области «нормальных» точек в пространстве признаков</w:t>
            </w:r>
          </w:p>
        </w:tc>
      </w:tr>
      <w:tr>
        <w:trPr>
          <w:tblHeader w:val="false"/>
        </w:trPr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/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DBSCAN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Точки, не попавшие в кластеры, помечаются как noise</w:t>
            </w:r>
          </w:p>
        </w:tc>
      </w:tr>
      <w:tr>
        <w:trPr>
          <w:tblHeader w:val="false"/>
        </w:trPr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/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k-Means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Точки с большим расстоянием до ближайшего центроида — кандидаты в выбросы</w:t>
            </w:r>
          </w:p>
        </w:tc>
      </w:tr>
      <w:tr>
        <w:trPr>
          <w:tblHeader w:val="false"/>
        </w:trPr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/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Autoencoder / VAE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Большая ошибка реконструкции = аномалия</w:t>
            </w:r>
          </w:p>
        </w:tc>
      </w:tr>
      <w:tr>
        <w:trPr>
          <w:tblHeader w:val="false"/>
        </w:trPr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Для временных рядов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STL / Seasonal decomposition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Разложение ряда; выбросы — крупные остатки</w:t>
            </w:r>
          </w:p>
        </w:tc>
      </w:tr>
      <w:tr>
        <w:trPr>
          <w:tblHeader w:val="false"/>
        </w:trPr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/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ARIMA / Prophet (остатки)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Прогноз минус факт; пороги по std остатков</w:t>
            </w:r>
          </w:p>
        </w:tc>
      </w:tr>
      <w:tr>
        <w:trPr>
          <w:tblHeader w:val="false"/>
        </w:trPr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/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LSTM / автоэнкодеры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Глубокое обучение для сложных временных паттернов</w:t>
            </w:r>
          </w:p>
        </w:tc>
      </w:tr>
      <w:tr>
        <w:trPr>
          <w:tblHeader w:val="false"/>
        </w:trPr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/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ESD-тест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Generalized Extreme Studentized Deviate — Rosner, 1983</w:t>
            </w:r>
          </w:p>
        </w:tc>
      </w:tr>
    </w:tbl>
    <w:p>
      <w:pPr>
        <w:spacing w:after="120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/>
      </w:r>
    </w:p>
    <w:p>
      <w:pPr>
        <w:pStyle w:val="Heading2"/>
        <w:spacing w:after="180" w:before="300" w:line="360"/>
      </w:pPr>
      <w:r>
        <w:rPr>
          <w:rFonts w:ascii="Times New Roman" w:cs="Times New Roman" w:eastAsia="Times New Roman" w:hAnsi="Times New Roman"/>
          <w:b/>
          <w:bCs/>
          <w:sz w:val="30"/>
          <w:szCs w:val="30"/>
        </w:rPr>
        <w:t xml:space="preserve">1.3. Одномерные статистические методы</w:t>
      </w:r>
    </w:p>
    <w:p>
      <w:pPr>
        <w:pStyle w:val="Heading3"/>
        <w:spacing w:after="120" w:before="240" w:line="360"/>
      </w:pPr>
      <w:r>
        <w:rPr>
          <w:rFonts w:ascii="Times New Roman" w:cs="Times New Roman" w:eastAsia="Times New Roman" w:hAnsi="Times New Roman"/>
          <w:b/>
          <w:bCs/>
          <w:i/>
          <w:iCs/>
          <w:sz w:val="28"/>
          <w:szCs w:val="28"/>
        </w:rPr>
        <w:t xml:space="preserve">Правило трёх сигм</w:t>
      </w:r>
    </w:p>
    <w:p>
      <w:pPr>
        <w:spacing w:after="120" w:line="360"/>
        <w:ind w:firstLine="72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Простейший и старейший метод. Если данные подчиняются нормальному распределению со средним μ и стандартным отклонением σ, то по правилу трёх сигм 99,73 % всех значений лежат в интервале [μ − 3σ; μ + 3σ]. Точки, выходящие за эти границы, считаются выбросами. Метод применим только для нормально распределённых данных; чувствителен к самим выбросам (которые искажают μ и σ).</w:t>
      </w:r>
    </w:p>
    <w:p>
      <w:pPr>
        <w:pStyle w:val="Heading3"/>
        <w:spacing w:after="120" w:before="240" w:line="360"/>
      </w:pPr>
      <w:r>
        <w:rPr>
          <w:rFonts w:ascii="Times New Roman" w:cs="Times New Roman" w:eastAsia="Times New Roman" w:hAnsi="Times New Roman"/>
          <w:b/>
          <w:bCs/>
          <w:i/>
          <w:iCs/>
          <w:sz w:val="28"/>
          <w:szCs w:val="28"/>
        </w:rPr>
        <w:t xml:space="preserve">Z-score и модифицированный Z-score</w:t>
      </w:r>
    </w:p>
    <w:p>
      <w:pPr>
        <w:spacing w:after="120" w:line="360"/>
        <w:ind w:firstLine="72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Z-score = (x − μ) / σ — стандартизованное отклонение от среднего. Типичный порог |z| &gt; 3 эквивалентен правилу трёх сигм. Modified Z-score = 0,6745·(x − Me) / MAD, где Me — медиана, MAD — медиана абсолютных отклонений (Median Absolute Deviation). Модифицированный вариант устойчив к собственно выбросам, поскольку медиана и MAD сами по себе устойчивые статистики.</w:t>
      </w:r>
    </w:p>
    <w:p>
      <w:pPr>
        <w:pStyle w:val="Heading3"/>
        <w:spacing w:after="120" w:before="240" w:line="360"/>
      </w:pPr>
      <w:r>
        <w:rPr>
          <w:rFonts w:ascii="Times New Roman" w:cs="Times New Roman" w:eastAsia="Times New Roman" w:hAnsi="Times New Roman"/>
          <w:b/>
          <w:bCs/>
          <w:i/>
          <w:iCs/>
          <w:sz w:val="28"/>
          <w:szCs w:val="28"/>
        </w:rPr>
        <w:t xml:space="preserve">Метод межквартильного размаха (IQR / Tukey)</w:t>
      </w:r>
    </w:p>
    <w:p>
      <w:pPr>
        <w:spacing w:after="120" w:line="360"/>
        <w:ind w:firstLine="72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Предложен Джоном Тьюки в 1977 году. Вычисляется межквартильный размах IQR = Q3 − Q1 (разность 75-го и 25-го квантилей). Точка x считается выбросом, если x &lt; Q1 − 1,5·IQR (нижний забор) или x &gt; Q3 + 1,5·IQR (верхний забор); экстремальным выбросом — если коэффициент 1,5 заменяется на 3. Это правило лежит в основе диаграммы «ящик с усами» (boxplot). Метод полностью непараметрический, не требует нормальности и устойчив к собственно выбросам.</w:t>
      </w:r>
    </w:p>
    <w:p>
      <w:pPr>
        <w:pStyle w:val="Heading3"/>
        <w:spacing w:after="120" w:before="240" w:line="360"/>
      </w:pPr>
      <w:r>
        <w:rPr>
          <w:rFonts w:ascii="Times New Roman" w:cs="Times New Roman" w:eastAsia="Times New Roman" w:hAnsi="Times New Roman"/>
          <w:b/>
          <w:bCs/>
          <w:i/>
          <w:iCs/>
          <w:sz w:val="28"/>
          <w:szCs w:val="28"/>
        </w:rPr>
        <w:t xml:space="preserve">Классические статистические тесты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Критерий Граббса (1950)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— тестирует гипотезу о наличии одного выброса в нормально распределённой выборке;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Критерий Диксона (1953)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— эффективен на малых выборках (n &lt; 30);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Критерий Шовене (1863)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— исторически первый формальный критерий; устаревший, но иногда упоминается;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ESD-тест Розенера (1983)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— Generalized Extreme Studentized Deviate, обобщение Граббса для случая нескольких выбросов.</w:t>
      </w:r>
    </w:p>
    <w:p>
      <w:pPr>
        <w:pStyle w:val="Heading2"/>
        <w:spacing w:after="180" w:before="300" w:line="360"/>
      </w:pPr>
      <w:r>
        <w:rPr>
          <w:rFonts w:ascii="Times New Roman" w:cs="Times New Roman" w:eastAsia="Times New Roman" w:hAnsi="Times New Roman"/>
          <w:b/>
          <w:bCs/>
          <w:sz w:val="30"/>
          <w:szCs w:val="30"/>
        </w:rPr>
        <w:t xml:space="preserve">1.4. Многомерные статистические методы</w:t>
      </w:r>
    </w:p>
    <w:p>
      <w:pPr>
        <w:pStyle w:val="Heading3"/>
        <w:spacing w:after="120" w:before="240" w:line="360"/>
      </w:pPr>
      <w:r>
        <w:rPr>
          <w:rFonts w:ascii="Times New Roman" w:cs="Times New Roman" w:eastAsia="Times New Roman" w:hAnsi="Times New Roman"/>
          <w:b/>
          <w:bCs/>
          <w:i/>
          <w:iCs/>
          <w:sz w:val="28"/>
          <w:szCs w:val="28"/>
        </w:rPr>
        <w:t xml:space="preserve">Расстояние Махаланобиса</w:t>
      </w:r>
    </w:p>
    <w:p>
      <w:pPr>
        <w:spacing w:after="120" w:line="360"/>
        <w:ind w:firstLine="72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В многомерных данных одномерные методы неприменимы: точка может быть нормальной по каждому признаку отдельно, но аномальной по их совокупности. Расстояние Махаланобиса (П. Махаланобис, 1936) учитывает корреляции признаков: D_M(x) = √((x − μ)ᵀ · Σ⁻¹ · (x − μ)), где Σ — ковариационная матрица. При нормальном многомерном распределении D²_M подчиняется χ²-распределению с числом степеней свободы, равным размерности; это даёт формальный критерий: точка — выброс, если D²_M превышает квантиль χ².</w:t>
      </w:r>
    </w:p>
    <w:p>
      <w:pPr>
        <w:pStyle w:val="Heading3"/>
        <w:spacing w:after="120" w:before="240" w:line="360"/>
      </w:pPr>
      <w:r>
        <w:rPr>
          <w:rFonts w:ascii="Times New Roman" w:cs="Times New Roman" w:eastAsia="Times New Roman" w:hAnsi="Times New Roman"/>
          <w:b/>
          <w:bCs/>
          <w:i/>
          <w:iCs/>
          <w:sz w:val="28"/>
          <w:szCs w:val="28"/>
        </w:rPr>
        <w:t xml:space="preserve">Смеси гауссиан (GMM)</w:t>
      </w:r>
    </w:p>
    <w:p>
      <w:pPr>
        <w:spacing w:after="120" w:line="360"/>
        <w:ind w:firstLine="72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Gaussian Mixture Model — параметрическая модель, аппроксимирующая распределение данных в виде взвешенной суммы нормальных распределений. После настройки модели (EM-алгоритм) каждой точке можно сопоставить плотность вероятности; точки с низкой плотностью считаются аномалиями. Применимо к сложным распределениям с кластерной структурой.</w:t>
      </w:r>
    </w:p>
    <w:p>
      <w:pPr>
        <w:pStyle w:val="Heading2"/>
        <w:spacing w:after="180" w:before="300" w:line="360"/>
      </w:pPr>
      <w:r>
        <w:rPr>
          <w:rFonts w:ascii="Times New Roman" w:cs="Times New Roman" w:eastAsia="Times New Roman" w:hAnsi="Times New Roman"/>
          <w:b/>
          <w:bCs/>
          <w:sz w:val="30"/>
          <w:szCs w:val="30"/>
        </w:rPr>
        <w:t xml:space="preserve">1.5. Методы машинного обучения</w:t>
      </w:r>
    </w:p>
    <w:p>
      <w:pPr>
        <w:pStyle w:val="Heading3"/>
        <w:spacing w:after="120" w:before="240" w:line="360"/>
      </w:pPr>
      <w:r>
        <w:rPr>
          <w:rFonts w:ascii="Times New Roman" w:cs="Times New Roman" w:eastAsia="Times New Roman" w:hAnsi="Times New Roman"/>
          <w:b/>
          <w:bCs/>
          <w:i/>
          <w:iCs/>
          <w:sz w:val="28"/>
          <w:szCs w:val="28"/>
        </w:rPr>
        <w:t xml:space="preserve">Isolation Forest (изолирующий лес)</w:t>
      </w:r>
    </w:p>
    <w:p>
      <w:pPr>
        <w:spacing w:after="120" w:line="360"/>
        <w:ind w:firstLine="72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Алгоритм, предложенный Лиу и др. в 2008 году, основан на идее: выбросы легче «изолировать» случайными разбиениями, чем нормальные точки. Строится ансамбль изолирующих деревьев, в каждом из которых выполняются рекурсивные случайные разбиения данных по случайно выбранному признаку. Чем короче средний путь от корня до точки по деревьям леса, тем больше вероятность, что точка — выброс. Один из самых популярных современных методов; реализован в sklearn.ensemble.IsolationForest. Сложность O(n log n), масштабируется на большие данные.</w:t>
      </w:r>
    </w:p>
    <w:p>
      <w:pPr>
        <w:pStyle w:val="Heading3"/>
        <w:spacing w:after="120" w:before="240" w:line="360"/>
      </w:pPr>
      <w:r>
        <w:rPr>
          <w:rFonts w:ascii="Times New Roman" w:cs="Times New Roman" w:eastAsia="Times New Roman" w:hAnsi="Times New Roman"/>
          <w:b/>
          <w:bCs/>
          <w:i/>
          <w:iCs/>
          <w:sz w:val="28"/>
          <w:szCs w:val="28"/>
        </w:rPr>
        <w:t xml:space="preserve">LOF — Local Outlier Factor</w:t>
      </w:r>
    </w:p>
    <w:p>
      <w:pPr>
        <w:spacing w:after="120" w:line="360"/>
        <w:ind w:firstLine="72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Метод (Бройниг и др., 2000) основан на сравнении локальной плотности точки с плотностью её ближайших соседей. Если плотность точки заметно ниже, чем у соседей, она помечается как выброс. Особенно эффективен в данных с кластерами разной плотности, где глобальные методы не работают. Реализован в sklearn.neighbors.LocalOutlierFactor.</w:t>
      </w:r>
    </w:p>
    <w:p>
      <w:pPr>
        <w:pStyle w:val="Heading3"/>
        <w:spacing w:after="120" w:before="240" w:line="360"/>
      </w:pPr>
      <w:r>
        <w:rPr>
          <w:rFonts w:ascii="Times New Roman" w:cs="Times New Roman" w:eastAsia="Times New Roman" w:hAnsi="Times New Roman"/>
          <w:b/>
          <w:bCs/>
          <w:i/>
          <w:iCs/>
          <w:sz w:val="28"/>
          <w:szCs w:val="28"/>
        </w:rPr>
        <w:t xml:space="preserve">One-Class SVM</w:t>
      </w:r>
    </w:p>
    <w:p>
      <w:pPr>
        <w:spacing w:after="120" w:line="360"/>
        <w:ind w:firstLine="72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Метод опорных векторов в специальной формулировке для одноклассовой задачи: модель учится описывать границу области «нормальных» точек в пространстве признаков (Шёлкопф и др., 1999). Точки за пределами этой границы — аномалии. Эффективен на сложных распределениях, особенно с использованием ядер (RBF); чувствителен к настройке гиперпараметра ν.</w:t>
      </w:r>
    </w:p>
    <w:p>
      <w:pPr>
        <w:pStyle w:val="Heading3"/>
        <w:spacing w:after="120" w:before="240" w:line="360"/>
      </w:pPr>
      <w:r>
        <w:rPr>
          <w:rFonts w:ascii="Times New Roman" w:cs="Times New Roman" w:eastAsia="Times New Roman" w:hAnsi="Times New Roman"/>
          <w:b/>
          <w:bCs/>
          <w:i/>
          <w:iCs/>
          <w:sz w:val="28"/>
          <w:szCs w:val="28"/>
        </w:rPr>
        <w:t xml:space="preserve">Методы на основе кластеризации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DBSCAN — алгоритм кластеризации, в котором точки, не попадающие ни в один кластер, автоматически помечаются как noise points (шум). Это побочное свойство DBSCAN делает его естественным детектором выбросов;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k-Means + расстояние до центроида — точки с расстоянием до ближайшего центра кластера, превышающим заданный порог, классифицируются как аномалии;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Иерархическая кластеризация — мелкие или одиночные ветви дендрограммы могут указывать на выбросы.</w:t>
      </w:r>
    </w:p>
    <w:p>
      <w:pPr>
        <w:pStyle w:val="Heading3"/>
        <w:spacing w:after="120" w:before="240" w:line="360"/>
      </w:pPr>
      <w:r>
        <w:rPr>
          <w:rFonts w:ascii="Times New Roman" w:cs="Times New Roman" w:eastAsia="Times New Roman" w:hAnsi="Times New Roman"/>
          <w:b/>
          <w:bCs/>
          <w:i/>
          <w:iCs/>
          <w:sz w:val="28"/>
          <w:szCs w:val="28"/>
        </w:rPr>
        <w:t xml:space="preserve">Глубокое обучение для аномалий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Autoencoder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— нейросеть, обучаемая воспроизводить вход на выходе через узкое представление. Большая ошибка реконструкции для конкретной точки означает, что модель не смогла её «сжать-восстановить» — признак аномалии;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Variational Autoencoder (VAE)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— вероятностная версия, позволяющая получить оценку плотности вероятности точки;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GAN-based методы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(AnoGAN, GANomaly) — обучают генеративную сеть на нормальных данных; аномалии не воспроизводятся точно;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Deep One-Class SVM, DeepSVDD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— нейросетевые расширения классических методов.</w:t>
      </w:r>
    </w:p>
    <w:p>
      <w:pPr>
        <w:pStyle w:val="Heading2"/>
        <w:spacing w:after="180" w:before="300" w:line="360"/>
      </w:pPr>
      <w:r>
        <w:rPr>
          <w:rFonts w:ascii="Times New Roman" w:cs="Times New Roman" w:eastAsia="Times New Roman" w:hAnsi="Times New Roman"/>
          <w:b/>
          <w:bCs/>
          <w:sz w:val="30"/>
          <w:szCs w:val="30"/>
        </w:rPr>
        <w:t xml:space="preserve">1.6. Методы для временных рядов</w:t>
      </w:r>
    </w:p>
    <w:p>
      <w:pPr>
        <w:spacing w:after="120" w:line="360"/>
        <w:ind w:firstLine="72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Временные ряды требуют учёта временной зависимости и сезонности: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Скользящее среднее + полосы (Bollinger Bands)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— простой подход, выбросом считается значение, выходящее за ±k·σ от скользящего среднего;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STL-декомпозиция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(Seasonal-Trend decomposition using LOESS) — разложение ряда на тренд, сезонность и остаток; выбросы — крупные остатки;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ARIMA и Facebook Prophet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— прогнозные модели; точки с большой ошибкой прогноза = аномалии;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LSTM-автоэнкодеры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— рекуррентные нейросети для сложных временных паттернов;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S-ESD и S-H-ESD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(Twitter, 2014) — алгоритмы Seasonal Hybrid ESD для рядов с сильной сезонностью.</w:t>
      </w:r>
    </w:p>
    <w:p>
      <w:pPr>
        <w:pStyle w:val="Heading2"/>
        <w:spacing w:after="180" w:before="300" w:line="360"/>
      </w:pPr>
      <w:r>
        <w:rPr>
          <w:rFonts w:ascii="Times New Roman" w:cs="Times New Roman" w:eastAsia="Times New Roman" w:hAnsi="Times New Roman"/>
          <w:b/>
          <w:bCs/>
          <w:sz w:val="30"/>
          <w:szCs w:val="30"/>
        </w:rPr>
        <w:t xml:space="preserve">1.7. Практические рекомендации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Перед применением методов — провести разведочный анализ (boxplots, histograms, scatter plots) для понимания распределений;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Для табличных данных смешанной природы — Isolation Forest как универсальный baseline;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Для одномерных данных — IQR (если нет нормальности) или Z-score (если есть);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Для данных с кластерной структурой — LOF или DBSCAN;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Для высокоразмерных данных (изображения) — Autoencoder, VAE;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Для временных рядов — STL + статистические пороги или Prophet;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Никогда не удалять выбросы автоматически — каждый случай требует анализа: ошибка измерения или реальное редкое событие;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Сохранять список удалённых выбросов для аудита и воспроизводимости;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Использовать робастные модели (Huber-регрессия, Quantile-регрессия), которые меньше страдают от выбросов.</w:t>
      </w:r>
    </w:p>
    <w:p>
      <w:pPr>
        <w:pStyle w:val="Heading2"/>
        <w:spacing w:after="180" w:before="300" w:line="360"/>
      </w:pPr>
      <w:r>
        <w:rPr>
          <w:rFonts w:ascii="Times New Roman" w:cs="Times New Roman" w:eastAsia="Times New Roman" w:hAnsi="Times New Roman"/>
          <w:b/>
          <w:bCs/>
          <w:sz w:val="30"/>
          <w:szCs w:val="30"/>
        </w:rPr>
        <w:t xml:space="preserve">Выводы по вопросу 1</w:t>
      </w:r>
    </w:p>
    <w:p>
      <w:pPr>
        <w:spacing w:after="120" w:line="360"/>
        <w:ind w:firstLine="72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Методы обнаружения выбросов делятся на четыре основные группы. Одномерные статистические методы (правило 3-сигм, Z-score, IQR Тьюки, критерии Граббса/Диксона/Шовене/ESD) применимы к отдельным признакам и хорошо работают для нормальных или симметричных распределений. Многомерные статистические методы (расстояние Махаланобиса, смеси гауссиан) учитывают корреляции признаков. ML-методы (Isolation Forest, LOF, One-Class SVM, DBSCAN, k-Means, автоэнкодеры) применимы к сложным многомерным распределениям и большим объёмам данных. Для временных рядов используются специальные методы — STL-декомпозиция, ARIMA, Prophet, LSTM, ESD-тесты. Выбор метода зависит от размерности и природы данных, наличия меток, требований к скорости. На практике все этапы — обнаружение, диагностика и решение об удалении выбросов — должны выполняться вдумчиво, поскольку реальная аномалия может быть и ошибкой измерения, и ценным сигналом.</w:t>
      </w:r>
    </w:p>
    <w:p>
      <w:r>
        <w:br w:type="page"/>
      </w:r>
    </w:p>
    <w:p>
      <w:pPr>
        <w:pStyle w:val="Heading1"/>
        <w:spacing w:after="240" w:before="360" w:line="360"/>
        <w:jc w:val="center"/>
      </w:pPr>
      <w:r>
        <w:rPr>
          <w:rFonts w:ascii="Times New Roman" w:cs="Times New Roman" w:eastAsia="Times New Roman" w:hAnsi="Times New Roman"/>
          <w:b/>
          <w:bCs/>
          <w:sz w:val="32"/>
          <w:szCs w:val="32"/>
        </w:rPr>
        <w:t xml:space="preserve">Вопрос 2. Многоуровневая архитектура распределённых систем</w:t>
      </w:r>
    </w:p>
    <w:p>
      <w:pPr>
        <w:pStyle w:val="Heading2"/>
        <w:spacing w:after="180" w:before="300" w:line="360"/>
      </w:pPr>
      <w:r>
        <w:rPr>
          <w:rFonts w:ascii="Times New Roman" w:cs="Times New Roman" w:eastAsia="Times New Roman" w:hAnsi="Times New Roman"/>
          <w:b/>
          <w:bCs/>
          <w:sz w:val="30"/>
          <w:szCs w:val="30"/>
        </w:rPr>
        <w:t xml:space="preserve">2.1. Понятие многоуровневой архитектуры</w:t>
      </w:r>
    </w:p>
    <w:p>
      <w:pPr>
        <w:spacing w:after="120" w:line="360"/>
        <w:ind w:firstLine="72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Многоуровневая (многослойная, n-tier, multi-tier) архитектура — это архитектурный стиль построения распределённых программных систем, при котором приложение делится на горизонтальные логические слои (tiers), каждый из которых выполняет специализированную функцию и взаимодействует только с соседними слоями через чётко определённые интерфейсы. Этот стиль является развитием более общего принципа разделения обязанностей (Separation of Concerns) и реализует ключевую инженерную идею: «сложную систему легче строить, поддерживать и масштабировать, если разделить её на изолированные функциональные блоки».</w:t>
      </w:r>
    </w:p>
    <w:p>
      <w:pPr>
        <w:spacing w:after="120" w:line="360"/>
        <w:ind w:firstLine="72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Важно различать понятия «уровень» (tier) и «слой» (layer): tier — это физическое размещение компонентов на разных машинах (например, веб-сервер и СУБД на разных хостах), layer — логическое разделение кода. Многоуровневая архитектура подразумевает обычно совмещение обоих принципов.</w:t>
      </w:r>
    </w:p>
    <w:p>
      <w:pPr>
        <w:pStyle w:val="Heading2"/>
        <w:spacing w:after="180" w:before="300" w:line="360"/>
      </w:pPr>
      <w:r>
        <w:rPr>
          <w:rFonts w:ascii="Times New Roman" w:cs="Times New Roman" w:eastAsia="Times New Roman" w:hAnsi="Times New Roman"/>
          <w:b/>
          <w:bCs/>
          <w:sz w:val="30"/>
          <w:szCs w:val="30"/>
        </w:rPr>
        <w:t xml:space="preserve">2.2. Эволюция архитектур</w:t>
      </w:r>
    </w:p>
    <w:p>
      <w:pPr>
        <w:spacing w:after="120" w:line="360"/>
        <w:ind w:firstLine="72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Многоуровневая архитектура прошла историческое развитие от моноблочных систем к современным микросервисным распределённым приложениям: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Одноуровневая (1-tier) — 1960-е годы.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Эпоха мейнфреймов IBM System/360: вся обработка и хранение данных на одном узле, пользователи работают через «тупые» терминалы. Программа, данные и пользовательский интерфейс — единое целое;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Двухуровневая (2-tier) — 1980–1990-е.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Классическая клиент-серверная архитектура. На стороне клиента — толстое приложение с GUI и бизнес-логикой, на стороне сервера — СУБД (Oracle, Sybase, MS SQL Server). Примеры: бухгалтерские системы на Delphi, PowerBuilder, FoxPro;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Трёхуровневая (3-tier) — с конца 1990-х.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Появление веб-приложений. Браузер (тонкий клиент) → веб-сервер с бизнес-логикой → СУБД. Это стандарт корпоративных и веб-приложений на десятилетия;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Многоуровневая (n-tier) — с 2000-х.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Разделение на четыре и более слоёв: UI, Application, Service / Business Logic, Data Access, Data. Дальнейшее развитие — Service-Oriented Architecture (SOA) и сервисная шина (ESB);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Микросервисная архитектура — с 2014 года.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Многоуровневость сохраняется, но каждый бизнес-домен превращается в отдельный сервис со своим стеком слоёв; общая система становится сетью взаимодействующих микросервисов.</w:t>
      </w:r>
    </w:p>
    <w:p>
      <w:pPr>
        <w:pStyle w:val="Heading2"/>
        <w:spacing w:after="180" w:before="300" w:line="360"/>
      </w:pPr>
      <w:r>
        <w:rPr>
          <w:rFonts w:ascii="Times New Roman" w:cs="Times New Roman" w:eastAsia="Times New Roman" w:hAnsi="Times New Roman"/>
          <w:b/>
          <w:bCs/>
          <w:sz w:val="30"/>
          <w:szCs w:val="30"/>
        </w:rPr>
        <w:t xml:space="preserve">2.3. Каноническая четырёхуровневая структура</w:t>
      </w:r>
    </w:p>
    <w:p>
      <w:pPr>
        <w:spacing w:after="120" w:line="360"/>
        <w:ind w:firstLine="72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Классическое современное представление многоуровневой архитектуры включает четыре основных слоя. Их роль и характерные технологии приведены в таблице.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700"/>
        <w:gridCol w:w="2300"/>
        <w:gridCol w:w="2200"/>
        <w:gridCol w:w="3160"/>
      </w:tblGrid>
      <w:tr>
        <w:trPr>
          <w:tblHeader/>
        </w:trPr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D9E2F3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jc w:val="center"/>
            </w:pPr>
            <w:r>
              <w:rPr>
                <w:rFonts w:ascii="Times New Roman" w:cs="Times New Roman" w:eastAsia="Times New Roman" w:hAnsi="Times New Roman"/>
                <w:b/>
                <w:bCs/>
                <w:sz w:val="24"/>
                <w:szCs w:val="24"/>
              </w:rPr>
              <w:t xml:space="preserve">Уровень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D9E2F3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jc w:val="center"/>
            </w:pPr>
            <w:r>
              <w:rPr>
                <w:rFonts w:ascii="Times New Roman" w:cs="Times New Roman" w:eastAsia="Times New Roman" w:hAnsi="Times New Roman"/>
                <w:b/>
                <w:bCs/>
                <w:sz w:val="24"/>
                <w:szCs w:val="24"/>
              </w:rPr>
              <w:t xml:space="preserve">Английское название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D9E2F3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jc w:val="center"/>
            </w:pPr>
            <w:r>
              <w:rPr>
                <w:rFonts w:ascii="Times New Roman" w:cs="Times New Roman" w:eastAsia="Times New Roman" w:hAnsi="Times New Roman"/>
                <w:b/>
                <w:bCs/>
                <w:sz w:val="24"/>
                <w:szCs w:val="24"/>
              </w:rPr>
              <w:t xml:space="preserve">Назначение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D9E2F3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jc w:val="center"/>
            </w:pPr>
            <w:r>
              <w:rPr>
                <w:rFonts w:ascii="Times New Roman" w:cs="Times New Roman" w:eastAsia="Times New Roman" w:hAnsi="Times New Roman"/>
                <w:b/>
                <w:bCs/>
                <w:sz w:val="24"/>
                <w:szCs w:val="24"/>
              </w:rPr>
              <w:t xml:space="preserve">Типичные технологии</w:t>
            </w:r>
          </w:p>
        </w:tc>
      </w:tr>
      <w:tr>
        <w:trPr>
          <w:tblHeader w:val="false"/>
        </w:trPr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1. Представления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Presentation tier (UI)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Отображение, ввод от пользователя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HTML/CSS/JS, React, Vue, Angular, мобильные приложения</w:t>
            </w:r>
          </w:p>
        </w:tc>
      </w:tr>
      <w:tr>
        <w:trPr>
          <w:tblHeader w:val="false"/>
        </w:trPr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2. Бизнес-логики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Business logic / Application tier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Правила, расчёты, оркестрация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Java Spring Boot, .NET Core, Node.js, Python Django/FastAPI</w:t>
            </w:r>
          </w:p>
        </w:tc>
      </w:tr>
      <w:tr>
        <w:trPr>
          <w:tblHeader w:val="false"/>
        </w:trPr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3. Доступа к данным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Data Access Layer (DAL)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CRUD-операции с хранилищем; ORM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JPA/Hibernate, Entity Framework, SQLAlchemy, Spring Data</w:t>
            </w:r>
          </w:p>
        </w:tc>
      </w:tr>
      <w:tr>
        <w:trPr>
          <w:tblHeader w:val="false"/>
        </w:trPr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4. Данных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Data tier / Persistence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Хранение информации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PostgreSQL, MySQL, Oracle, MongoDB, Redis, S3</w:t>
            </w:r>
          </w:p>
        </w:tc>
      </w:tr>
    </w:tbl>
    <w:p>
      <w:pPr>
        <w:spacing w:after="120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/>
      </w:r>
    </w:p>
    <w:p>
      <w:pPr>
        <w:pStyle w:val="Heading3"/>
        <w:spacing w:after="120" w:before="240" w:line="360"/>
      </w:pPr>
      <w:r>
        <w:rPr>
          <w:rFonts w:ascii="Times New Roman" w:cs="Times New Roman" w:eastAsia="Times New Roman" w:hAnsi="Times New Roman"/>
          <w:b/>
          <w:bCs/>
          <w:i/>
          <w:iCs/>
          <w:sz w:val="28"/>
          <w:szCs w:val="28"/>
        </w:rPr>
        <w:t xml:space="preserve">Уровень представления (Presentation tier)</w:t>
      </w:r>
    </w:p>
    <w:p>
      <w:pPr>
        <w:spacing w:after="120" w:line="360"/>
        <w:ind w:firstLine="72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Самый верхний слой, отвечающий за взаимодействие с пользователем. Реализует пользовательский интерфейс (UI), обрабатывает вводимые данные, форматирует и отображает ответы. Не содержит бизнес-логики — только её представление. Может быть реализован как: веб-приложение (HTML/CSS/JS, React, Vue, Angular), мобильное приложение (Android, iOS, React Native, Flutter), десктопное приложение (WPF, Qt, JavaFX), консольный клиент, голосовой интерфейс (Алиса, Маруся), API-клиент (Postman, curl).</w:t>
      </w:r>
    </w:p>
    <w:p>
      <w:pPr>
        <w:pStyle w:val="Heading3"/>
        <w:spacing w:after="120" w:before="240" w:line="360"/>
      </w:pPr>
      <w:r>
        <w:rPr>
          <w:rFonts w:ascii="Times New Roman" w:cs="Times New Roman" w:eastAsia="Times New Roman" w:hAnsi="Times New Roman"/>
          <w:b/>
          <w:bCs/>
          <w:i/>
          <w:iCs/>
          <w:sz w:val="28"/>
          <w:szCs w:val="28"/>
        </w:rPr>
        <w:t xml:space="preserve">Уровень бизнес-логики (Business Logic / Application tier)</w:t>
      </w:r>
    </w:p>
    <w:p>
      <w:pPr>
        <w:spacing w:after="120" w:line="360"/>
        <w:ind w:firstLine="72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Ядро системы: содержит правила предметной области, расчёты, оркестрацию операций, валидации, обработку транзакций. Технологически реализуется как набор сервисов на сервере приложений: Spring Boot (Java), ASP.NET Core (C#), Express.js / NestJS (Node.js), Django / FastAPI (Python). Согласно DDD (Domain-Driven Design Эрика Эванса), внутри этого слоя выделяют ещё доменный слой и слой приложения (Application Services), где первый содержит «чистую» доменную модель, а второй — оркестрацию use-cases.</w:t>
      </w:r>
    </w:p>
    <w:p>
      <w:pPr>
        <w:pStyle w:val="Heading3"/>
        <w:spacing w:after="120" w:before="240" w:line="360"/>
      </w:pPr>
      <w:r>
        <w:rPr>
          <w:rFonts w:ascii="Times New Roman" w:cs="Times New Roman" w:eastAsia="Times New Roman" w:hAnsi="Times New Roman"/>
          <w:b/>
          <w:bCs/>
          <w:i/>
          <w:iCs/>
          <w:sz w:val="28"/>
          <w:szCs w:val="28"/>
        </w:rPr>
        <w:t xml:space="preserve">Уровень доступа к данным (Data Access Layer, DAL)</w:t>
      </w:r>
    </w:p>
    <w:p>
      <w:pPr>
        <w:spacing w:after="120" w:line="360"/>
        <w:ind w:firstLine="72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Слой-посредник, изолирующий бизнес-логику от деталей хранения данных. Реализует паттерн Repository (Эрик Эванс): сервис обращается к репозиторию методами findByEmail("..."), save(user), а не к SQL напрямую. Это обеспечивает: возможность сменить СУБД без переписывания бизнес-логики, унифицированные транзакции, удобство тестирования (можно подменить репозиторий на in-memory). Реализуется через ORM (Object-Relational Mapping): Hibernate/JPA в Java, Entity Framework Core в .NET, SQLAlchemy в Python, Sequelize в Node.js. Для документных СУБД — Spring Data MongoDB, Mongoose.</w:t>
      </w:r>
    </w:p>
    <w:p>
      <w:pPr>
        <w:pStyle w:val="Heading3"/>
        <w:spacing w:after="120" w:before="240" w:line="360"/>
      </w:pPr>
      <w:r>
        <w:rPr>
          <w:rFonts w:ascii="Times New Roman" w:cs="Times New Roman" w:eastAsia="Times New Roman" w:hAnsi="Times New Roman"/>
          <w:b/>
          <w:bCs/>
          <w:i/>
          <w:iCs/>
          <w:sz w:val="28"/>
          <w:szCs w:val="28"/>
        </w:rPr>
        <w:t xml:space="preserve">Уровень данных (Data tier / Persistence)</w:t>
      </w:r>
    </w:p>
    <w:p>
      <w:pPr>
        <w:spacing w:after="120" w:line="360"/>
        <w:ind w:firstLine="72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Физическое хранение информации. Реляционные СУБД (PostgreSQL, MySQL, Oracle, MS SQL Server, российские Postgres Pro и Tantor), документные NoSQL (MongoDB, CouchDB), колоночные (ClickHouse), key-value (Redis, Memcached), графовые (Neo4j, ArangoDB), объектные хранилища (Amazon S3, MinIO, Yandex Object Storage). В корпоративных системах часто комбинируют несколько типов: реляционная БД для транзакций + Redis для кэша + Elasticsearch для поиска + S3 для файлов.</w:t>
      </w:r>
    </w:p>
    <w:p>
      <w:pPr>
        <w:pStyle w:val="Heading2"/>
        <w:spacing w:after="180" w:before="300" w:line="360"/>
      </w:pPr>
      <w:r>
        <w:rPr>
          <w:rFonts w:ascii="Times New Roman" w:cs="Times New Roman" w:eastAsia="Times New Roman" w:hAnsi="Times New Roman"/>
          <w:b/>
          <w:bCs/>
          <w:sz w:val="30"/>
          <w:szCs w:val="30"/>
        </w:rPr>
        <w:t xml:space="preserve">2.4. Преимущества многоуровневой архитектуры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Разделение обязанностей: каждый слой имеет одну зону ответственности, что упрощает разработку и сопровождение;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Изоляция изменений: смена UI-фреймворка не требует переписывания бизнес-логики; смена БД — не затрагивает интерфейс;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Параллельная разработка: разные команды могут работать над разными слоями одновременно;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Переиспользование: один и тот же бизнес-слой может обслуживать веб-приложение, мобильное приложение и публичный API;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Масштабируемость: каждый слой можно масштабировать независимо (например, добавлять веб-серверы при пиковой нагрузке);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Безопасность: чёткие границы между слоями облегчают применение принципа защиты в глубину (Defense in Depth);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Тестируемость: каждый слой можно тестировать изолированно, подменяя зависимости моками.</w:t>
      </w:r>
    </w:p>
    <w:p>
      <w:pPr>
        <w:pStyle w:val="Heading2"/>
        <w:spacing w:after="180" w:before="300" w:line="360"/>
      </w:pPr>
      <w:r>
        <w:rPr>
          <w:rFonts w:ascii="Times New Roman" w:cs="Times New Roman" w:eastAsia="Times New Roman" w:hAnsi="Times New Roman"/>
          <w:b/>
          <w:bCs/>
          <w:sz w:val="30"/>
          <w:szCs w:val="30"/>
        </w:rPr>
        <w:t xml:space="preserve">2.5. Недостатки и ограничения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Сетевые накладные расходы: каждый межслойный вызов — это сериализация / десериализация и сетевой трип;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Сложность транзакций: транзакции, охватывающие несколько узлов, требуют сложных протоколов (2PC, Saga);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Латентность: пользовательский запрос проходит через все слои, накапливая задержки;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Чрезмерная абстракция: для простых задач многослойность создаёт лишнюю сложность («over-engineering»);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Цена ошибки: неправильно спроектированный интерфейс между слоями ведёт к каскадным проблемам;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Размывание границ: на практике слои часто текут друг в друга (бизнес-логика просачивается в контроллеры или репозитории).</w:t>
      </w:r>
    </w:p>
    <w:p>
      <w:pPr>
        <w:pStyle w:val="Heading2"/>
        <w:spacing w:after="180" w:before="300" w:line="360"/>
      </w:pPr>
      <w:r>
        <w:rPr>
          <w:rFonts w:ascii="Times New Roman" w:cs="Times New Roman" w:eastAsia="Times New Roman" w:hAnsi="Times New Roman"/>
          <w:b/>
          <w:bCs/>
          <w:sz w:val="30"/>
          <w:szCs w:val="30"/>
        </w:rPr>
        <w:t xml:space="preserve">2.6. Связь с другими архитектурными стилями</w:t>
      </w:r>
    </w:p>
    <w:p>
      <w:pPr>
        <w:spacing w:after="120" w:line="360"/>
        <w:ind w:firstLine="72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Многоуровневая архитектура — основа для нескольких современных архитектурных подходов: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Clean Architecture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Роберта Мартина (2017) — концентрические слои с зависимостью только внутрь: Entities → Use Cases → Interface Adapters → Frameworks &amp; Drivers. Бизнес-логика не зависит ни от UI, ни от БД;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Hexagonal Architecture (Ports &amp; Adapters)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Алистера Кокберна (2005) — приложение в центре с портами (интерфейсами), реализуемыми адаптерами (REST, GraphQL, БД, очередь). Усиливает изоляцию домена от внешнего мира;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Onion Architecture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Джеффри Палермо — луковичные слои с доменом в центре;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Микросервисная архитектура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— каждый микросервис внутри сохраняет многоуровневое строение, при этом вся система состоит из множества таких сервисов, взаимодействующих через REST/gRPC/message broker;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Service-Oriented Architecture (SOA)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— ранний промышленный стандарт сервисной декомпозиции с единой Enterprise Service Bus (ESB).</w:t>
      </w:r>
    </w:p>
    <w:p>
      <w:pPr>
        <w:pStyle w:val="Heading2"/>
        <w:spacing w:after="180" w:before="300" w:line="360"/>
      </w:pPr>
      <w:r>
        <w:rPr>
          <w:rFonts w:ascii="Times New Roman" w:cs="Times New Roman" w:eastAsia="Times New Roman" w:hAnsi="Times New Roman"/>
          <w:b/>
          <w:bCs/>
          <w:sz w:val="30"/>
          <w:szCs w:val="30"/>
        </w:rPr>
        <w:t xml:space="preserve">2.7. Примеры реальных систем</w:t>
      </w:r>
    </w:p>
    <w:p>
      <w:pPr>
        <w:pStyle w:val="Heading3"/>
        <w:spacing w:after="120" w:before="240" w:line="360"/>
      </w:pPr>
      <w:r>
        <w:rPr>
          <w:rFonts w:ascii="Times New Roman" w:cs="Times New Roman" w:eastAsia="Times New Roman" w:hAnsi="Times New Roman"/>
          <w:b/>
          <w:bCs/>
          <w:i/>
          <w:iCs/>
          <w:sz w:val="28"/>
          <w:szCs w:val="28"/>
        </w:rPr>
        <w:t xml:space="preserve">Веб-приложение интернет-магазина</w:t>
      </w:r>
    </w:p>
    <w:p>
      <w:pPr>
        <w:spacing w:after="120" w:line="360"/>
        <w:ind w:firstLine="72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Типичная трёхуровневая структура: браузер пользователя (React-SPA) → веб-сервер на Node.js (Express) или Java (Spring Boot) с REST API → PostgreSQL для каталога товаров и заказов + Redis для кэша + Elasticsearch для поиска + S3 для изображений товаров. Этот шаблон лежит в основе подавляющего большинства e-commerce платформ: Wildberries, Ozon, Яндекс Маркет.</w:t>
      </w:r>
    </w:p>
    <w:p>
      <w:pPr>
        <w:pStyle w:val="Heading3"/>
        <w:spacing w:after="120" w:before="240" w:line="360"/>
      </w:pPr>
      <w:r>
        <w:rPr>
          <w:rFonts w:ascii="Times New Roman" w:cs="Times New Roman" w:eastAsia="Times New Roman" w:hAnsi="Times New Roman"/>
          <w:b/>
          <w:bCs/>
          <w:i/>
          <w:iCs/>
          <w:sz w:val="28"/>
          <w:szCs w:val="28"/>
        </w:rPr>
        <w:t xml:space="preserve">Корпоративное Java EE-приложение</w:t>
      </w:r>
    </w:p>
    <w:p>
      <w:pPr>
        <w:spacing w:after="120" w:line="360"/>
        <w:ind w:firstLine="72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Классическая четырёхуровневая система: уровень представления — JSP/JSF (или внешний SPA); уровень бизнес-логики — EJB (Enterprise JavaBeans) или Spring-сервисы; уровень доступа к данным — DAO с использованием JPA/Hibernate; уровень данных — Oracle или PostgreSQL. Развёртывается в сервере приложений (WildFly, GlassFish) или в облаке через контейнеры.</w:t>
      </w:r>
    </w:p>
    <w:p>
      <w:pPr>
        <w:pStyle w:val="Heading3"/>
        <w:spacing w:after="120" w:before="240" w:line="360"/>
      </w:pPr>
      <w:r>
        <w:rPr>
          <w:rFonts w:ascii="Times New Roman" w:cs="Times New Roman" w:eastAsia="Times New Roman" w:hAnsi="Times New Roman"/>
          <w:b/>
          <w:bCs/>
          <w:i/>
          <w:iCs/>
          <w:sz w:val="28"/>
          <w:szCs w:val="28"/>
        </w:rPr>
        <w:t xml:space="preserve">Современный Spring Boot-стек</w:t>
      </w:r>
    </w:p>
    <w:p>
      <w:pPr>
        <w:spacing w:after="120" w:line="360"/>
        <w:ind w:firstLine="72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Spring MVC (Controller layer) принимает HTTP-запросы → Spring Service Layer (Service annotations) реализует бизнес-логику → Spring Data Repository обращается к БД через JPA/Hibernate → PostgreSQL хранит данные. Внутри сервисного слоя могут быть дополнительные подразделы (Domain, Application Services, Infrastructure).</w:t>
      </w:r>
    </w:p>
    <w:p>
      <w:pPr>
        <w:pStyle w:val="Heading3"/>
        <w:spacing w:after="120" w:before="240" w:line="360"/>
      </w:pPr>
      <w:r>
        <w:rPr>
          <w:rFonts w:ascii="Times New Roman" w:cs="Times New Roman" w:eastAsia="Times New Roman" w:hAnsi="Times New Roman"/>
          <w:b/>
          <w:bCs/>
          <w:i/>
          <w:iCs/>
          <w:sz w:val="28"/>
          <w:szCs w:val="28"/>
        </w:rPr>
        <w:t xml:space="preserve">Микросервисная система</w:t>
      </w:r>
    </w:p>
    <w:p>
      <w:pPr>
        <w:spacing w:after="120" w:line="360"/>
        <w:ind w:firstLine="72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Распределённая система дистанционного обучения (см. билет 4) — наглядный пример: каждый микросервис (сервис курсов, сервис тестов, сервис уведомлений) внутри устроен четырёхуровнево, общая система состоит из ~10 таких сервисов, взаимодействующих через API Gateway и брокер сообщений Kafka.</w:t>
      </w:r>
    </w:p>
    <w:p>
      <w:pPr>
        <w:pStyle w:val="Heading2"/>
        <w:spacing w:after="180" w:before="300" w:line="360"/>
      </w:pPr>
      <w:r>
        <w:rPr>
          <w:rFonts w:ascii="Times New Roman" w:cs="Times New Roman" w:eastAsia="Times New Roman" w:hAnsi="Times New Roman"/>
          <w:b/>
          <w:bCs/>
          <w:sz w:val="30"/>
          <w:szCs w:val="30"/>
        </w:rPr>
        <w:t xml:space="preserve">Выводы по вопросу 2</w:t>
      </w:r>
    </w:p>
    <w:p>
      <w:pPr>
        <w:spacing w:after="120" w:line="360"/>
        <w:ind w:firstLine="72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Многоуровневая (n-tier) архитектура распределённых систем — фундаментальный архитектурный стиль, основанный на разделении приложения на горизонтальные функциональные слои: представления (UI), бизнес-логики, доступа к данным и хранения данных. Эволюция архитектур шла от моноблочных мейнфреймов 1960-х через двухуровневые клиент-серверные системы 1980-х и трёхуровневые веб-приложения 1990-х к современной микросервисной архитектуре. Каждый слой выполняет строго определённую роль и взаимодействует с соседями через формализованные интерфейсы, что обеспечивает изоляцию изменений, параллельную разработку, тестируемость и независимое масштабирование. Многоуровневая архитектура лежит в основе современных архитектурных подходов — Clean Architecture, Hexagonal Architecture, микросервисов. Примеры её применения охватывают практически все классы корпоративных и веб-приложений: интернет-магазины, банковские системы, LMS, ERP, CRM.</w:t>
      </w:r>
    </w:p>
    <w:p>
      <w:r>
        <w:br w:type="page"/>
      </w:r>
    </w:p>
    <w:p>
      <w:pPr>
        <w:pStyle w:val="Heading1"/>
        <w:spacing w:after="240" w:before="360" w:line="360"/>
        <w:jc w:val="center"/>
      </w:pPr>
      <w:r>
        <w:rPr>
          <w:rFonts w:ascii="Times New Roman" w:cs="Times New Roman" w:eastAsia="Times New Roman" w:hAnsi="Times New Roman"/>
          <w:b/>
          <w:bCs/>
          <w:sz w:val="32"/>
          <w:szCs w:val="32"/>
        </w:rPr>
        <w:t xml:space="preserve">Вопрос 3. Модель BPMN для системы «Изготовление ПО на заказ»</w:t>
      </w:r>
    </w:p>
    <w:p>
      <w:pPr>
        <w:pStyle w:val="Heading2"/>
        <w:spacing w:after="180" w:before="300" w:line="360"/>
      </w:pPr>
      <w:r>
        <w:rPr>
          <w:rFonts w:ascii="Times New Roman" w:cs="Times New Roman" w:eastAsia="Times New Roman" w:hAnsi="Times New Roman"/>
          <w:b/>
          <w:bCs/>
          <w:sz w:val="30"/>
          <w:szCs w:val="30"/>
        </w:rPr>
        <w:t xml:space="preserve">3.1. Краткое напоминание о нотации BPMN</w:t>
      </w:r>
    </w:p>
    <w:p>
      <w:pPr>
        <w:spacing w:after="120" w:line="360"/>
        <w:ind w:firstLine="72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BPMN (Business Process Model and Notation) — международный стандарт ISO/IEC 19510 графического описания бизнес-процессов, утверждённый в редакции 2.0 Object Management Group в 2011 году. BPMN-диаграмма строится из элементов пяти категорий: события (начальное / промежуточное / конечное — круги разной обводки); действия / задачи (прямоугольники со скруглением); шлюзы / точки ветвления (ромбы: исключающий XOR, параллельный AND, включающий OR); потоки управления (сплошные стрелки) и сообщений (пунктирные стрелки); дорожки (lanes) внутри пула (pool), обозначающие исполнителей.</w:t>
      </w:r>
    </w:p>
    <w:p>
      <w:pPr>
        <w:pStyle w:val="Heading2"/>
        <w:spacing w:after="180" w:before="300" w:line="360"/>
      </w:pPr>
      <w:r>
        <w:rPr>
          <w:rFonts w:ascii="Times New Roman" w:cs="Times New Roman" w:eastAsia="Times New Roman" w:hAnsi="Times New Roman"/>
          <w:b/>
          <w:bCs/>
          <w:sz w:val="30"/>
          <w:szCs w:val="30"/>
        </w:rPr>
        <w:t xml:space="preserve">3.2. Алгоритм построения модели</w:t>
      </w:r>
    </w:p>
    <w:p>
      <w:pPr>
        <w:spacing w:after="120" w:line="360"/>
        <w:ind w:firstLine="72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Построение BPMN-модели целевого процесса выполняется по следующему алгоритму: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Шаг 1.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Определение границ процесса: какое событие запускает процесс и какие события свидетельствуют о его завершении;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Шаг 2.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Идентификация участников (ролей) — каждый исполнитель станет отдельной дорожкой;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Шаг 3.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Выделение основных задач процесса в виде глагольных формулировок;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Шаг 4.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Выявление точек принятия решений (шлюзы XOR/AND/OR);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Шаг 5.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Размещение элементов по дорожкам соответствующих исполнителей;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Шаг 6.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Соединение элементов потоками управления, выделение циклов обратной связи;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Шаг 7.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Добавление артефактов (документов) и аннотаций при необходимости;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Шаг 8.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Валидация модели на отсутствие тупиков и недостижимых состояний.</w:t>
      </w:r>
    </w:p>
    <w:p>
      <w:pPr>
        <w:pStyle w:val="Heading2"/>
        <w:spacing w:after="180" w:before="300" w:line="360"/>
      </w:pPr>
      <w:r>
        <w:rPr>
          <w:rFonts w:ascii="Times New Roman" w:cs="Times New Roman" w:eastAsia="Times New Roman" w:hAnsi="Times New Roman"/>
          <w:b/>
          <w:bCs/>
          <w:sz w:val="30"/>
          <w:szCs w:val="30"/>
        </w:rPr>
        <w:t xml:space="preserve">3.3. Применение алгоритма к процессу «Изготовление ПО на заказ»</w:t>
      </w:r>
    </w:p>
    <w:p>
      <w:pPr>
        <w:pStyle w:val="Heading3"/>
        <w:spacing w:after="120" w:before="240" w:line="360"/>
      </w:pPr>
      <w:r>
        <w:rPr>
          <w:rFonts w:ascii="Times New Roman" w:cs="Times New Roman" w:eastAsia="Times New Roman" w:hAnsi="Times New Roman"/>
          <w:b/>
          <w:bCs/>
          <w:i/>
          <w:iCs/>
          <w:sz w:val="28"/>
          <w:szCs w:val="28"/>
        </w:rPr>
        <w:t xml:space="preserve">Граничные события процесса</w:t>
      </w:r>
    </w:p>
    <w:p>
      <w:pPr>
        <w:spacing w:after="120" w:line="360"/>
        <w:ind w:firstLine="72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Процесс «Изготовление ПО на заказ» инициируется обращением заказчика в студию разработки с заявкой на создание программного продукта. Успешным завершением процесса является подписание акта приёма-передачи готового ПО, удовлетворяющего требованиям заказчика. Альтернативных конечных событий в модели не предусмотрено: процесс является итеративным и в случае несоответствия результата требованиям не завершается отказом, а возвращается на доработку (циклы обратной связи).</w:t>
      </w:r>
    </w:p>
    <w:p>
      <w:pPr>
        <w:pStyle w:val="Heading3"/>
        <w:spacing w:after="120" w:before="240" w:line="360"/>
      </w:pPr>
      <w:r>
        <w:rPr>
          <w:rFonts w:ascii="Times New Roman" w:cs="Times New Roman" w:eastAsia="Times New Roman" w:hAnsi="Times New Roman"/>
          <w:b/>
          <w:bCs/>
          <w:i/>
          <w:iCs/>
          <w:sz w:val="28"/>
          <w:szCs w:val="28"/>
        </w:rPr>
        <w:t xml:space="preserve">Объекты-исполнители (роли)</w:t>
      </w:r>
    </w:p>
    <w:p>
      <w:pPr>
        <w:spacing w:after="120" w:line="360"/>
        <w:ind w:firstLine="72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В процессе участвуют четыре роли, каждая из которых получает свою дорожку: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Заказчик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— инициирует процесс заявкой, утверждает техническое задание, принимает результат и подписывает акт;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Аналитик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— собирает требования заказчика и формирует техническое задание (ТЗ);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Разработчик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— реализует программное обеспечение по утверждённому ТЗ и исправляет обнаруженные дефекты;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Тестировщик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— проводит тестирование разработанного ПО и фиксирует дефекты.</w:t>
      </w:r>
    </w:p>
    <w:p>
      <w:pPr>
        <w:pStyle w:val="Heading3"/>
        <w:spacing w:after="120" w:before="240" w:line="360"/>
      </w:pPr>
      <w:r>
        <w:rPr>
          <w:rFonts w:ascii="Times New Roman" w:cs="Times New Roman" w:eastAsia="Times New Roman" w:hAnsi="Times New Roman"/>
          <w:b/>
          <w:bCs/>
          <w:i/>
          <w:iCs/>
          <w:sz w:val="28"/>
          <w:szCs w:val="28"/>
        </w:rPr>
        <w:t xml:space="preserve">Действия (задачи) процесса</w:t>
      </w:r>
    </w:p>
    <w:p>
      <w:pPr>
        <w:spacing w:after="120" w:line="360"/>
        <w:ind w:firstLine="72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Выделено восемь основных задач: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Подать заявку (Заказчик);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Собрать требования (Аналитик);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Разработать ТЗ (Аналитик);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Реализовать ПО (Разработчик);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Провести тестирование (Тестировщик);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Исправить дефекты (Разработчик);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Подписан акт — конечное событие (Заказчик).</w:t>
      </w:r>
    </w:p>
    <w:p>
      <w:pPr>
        <w:pStyle w:val="Heading3"/>
        <w:spacing w:after="120" w:before="240" w:line="360"/>
      </w:pPr>
      <w:r>
        <w:rPr>
          <w:rFonts w:ascii="Times New Roman" w:cs="Times New Roman" w:eastAsia="Times New Roman" w:hAnsi="Times New Roman"/>
          <w:b/>
          <w:bCs/>
          <w:i/>
          <w:iCs/>
          <w:sz w:val="28"/>
          <w:szCs w:val="28"/>
        </w:rPr>
        <w:t xml:space="preserve">Шлюзы (точки принятия решений)</w:t>
      </w:r>
    </w:p>
    <w:p>
      <w:pPr>
        <w:spacing w:after="120" w:line="360"/>
        <w:ind w:firstLine="72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В процессе три исключающих шлюза (XOR), каждый из которых формирует цикл обратной связи: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«ТЗ ок?»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(дорожка Заказчика) — заказчик принимает или отклоняет составленное аналитиком ТЗ. При отклонении — возврат на «Разработать ТЗ»;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«Дефекты?»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(дорожка Тестировщика) — по результатам тестирования. При наличии дефектов — переход на «Исправить дефекты» (Разработчик) и далее обратно к «Провести тестирование»;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«Принять?»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(дорожка Заказчика) — финальная приёмка готового ПО. При отказе — возврат на «Реализовать ПО» (крупная доработка).</w:t>
      </w:r>
    </w:p>
    <w:p>
      <w:pPr>
        <w:pStyle w:val="Heading3"/>
        <w:spacing w:after="120" w:before="240" w:line="360"/>
      </w:pPr>
      <w:r>
        <w:rPr>
          <w:rFonts w:ascii="Times New Roman" w:cs="Times New Roman" w:eastAsia="Times New Roman" w:hAnsi="Times New Roman"/>
          <w:b/>
          <w:bCs/>
          <w:i/>
          <w:iCs/>
          <w:sz w:val="28"/>
          <w:szCs w:val="28"/>
        </w:rPr>
        <w:t xml:space="preserve">Последовательность действий процесса</w:t>
      </w:r>
    </w:p>
    <w:p>
      <w:pPr>
        <w:spacing w:after="120" w:line="360"/>
        <w:ind w:firstLine="72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Процесс разворачивается следующим образом: заказчик подаёт заявку → аналитик собирает требования и разрабатывает техническое задание → заказчик проверяет ТЗ; при отклонении ТЗ возвращается аналитику на доработку, при утверждении передаётся в разработку → разработчик реализует ПО → тестировщик проводит тестирование → при обнаружении дефектов разработчик их исправляет и ПО снова проходит тестирование (цикл); при успешном тестировании результат передаётся на финальную приёмку заказчику → если заказчик не принимает работу, она возвращается разработчику для крупной доработки (цикл); при принятии — подписывается акт приёма-передачи, процесс завершается.</w:t>
      </w:r>
    </w:p>
    <w:p>
      <w:pPr>
        <w:pStyle w:val="Heading2"/>
        <w:spacing w:after="180" w:before="300" w:line="360"/>
      </w:pPr>
      <w:r>
        <w:rPr>
          <w:rFonts w:ascii="Times New Roman" w:cs="Times New Roman" w:eastAsia="Times New Roman" w:hAnsi="Times New Roman"/>
          <w:b/>
          <w:bCs/>
          <w:sz w:val="30"/>
          <w:szCs w:val="30"/>
        </w:rPr>
        <w:t xml:space="preserve">3.4. BPMN-модель процесса</w:t>
      </w:r>
    </w:p>
    <w:p>
      <w:pPr>
        <w:spacing w:after="120" w:line="360"/>
        <w:ind w:firstLine="72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Построенная по приведённому выше алгоритму модель представлена на рисунке 1.</w:t>
      </w:r>
    </w:p>
    <w:p>
      <w:pPr>
        <w:spacing w:after="120" w:before="240"/>
        <w:jc w:val="center"/>
      </w:pPr>
      <w:r>
        <w:drawing>
          <wp:inline distT="0" distB="0" distL="0" distR="0">
            <wp:extent cx="5905500" cy="2524125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0" cy="2524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240"/>
        <w:jc w:val="center"/>
      </w:pPr>
      <w:r>
        <w:rPr>
          <w:rFonts w:ascii="Times New Roman" w:cs="Times New Roman" w:eastAsia="Times New Roman" w:hAnsi="Times New Roman"/>
          <w:i/>
          <w:iCs/>
          <w:sz w:val="24"/>
          <w:szCs w:val="24"/>
        </w:rPr>
        <w:t xml:space="preserve">Рисунок 1 — BPMN-модель процесса «Изготовление ПО на заказ»</w:t>
      </w:r>
    </w:p>
    <w:p>
      <w:pPr>
        <w:pStyle w:val="Heading2"/>
        <w:spacing w:after="180" w:before="300" w:line="360"/>
      </w:pPr>
      <w:r>
        <w:rPr>
          <w:rFonts w:ascii="Times New Roman" w:cs="Times New Roman" w:eastAsia="Times New Roman" w:hAnsi="Times New Roman"/>
          <w:b/>
          <w:bCs/>
          <w:sz w:val="30"/>
          <w:szCs w:val="30"/>
        </w:rPr>
        <w:t xml:space="preserve">3.5. Пояснения к элементам диаграммы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Четыре дорожки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— Заказчик, Аналитик, Разработчик, Тестировщик — позволяют визуально проследить, на каком этапе процесса какой исполнитель отвечает за выполнение задачи;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Начальное событие «Старт»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— тонкий зелёный круг в дорожке Заказчика, обозначает момент обращения с заявкой;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Конечное событие «Подписан акт»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— толстый зелёный круг в дорожке Заказчика, обозначает успешное завершение процесса;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Задачи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— прямоугольники со скруглением, окрашенные в цвет соответствующей дорожки (синий — Заказчик, зелёный — Аналитик, фиолетовый — Разработчик, оранжевый — Тестировщик) для визуальной идентификации исполнителя;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Три исключающих шлюза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— жёлтые ромбы с подписями «ТЗ ок?», «Дефекты?», «Принять?»; каждый имеет два исходящих потока («да» / «нет»);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Сплошные стрелки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— потоки управления (последовательность задач);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Пунктирные стрелки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— использованы для обозначения циклов обратной связи (доработки), что облегчает визуальное восприятие основного потока и итераций.</w:t>
      </w:r>
    </w:p>
    <w:p>
      <w:pPr>
        <w:pStyle w:val="Heading2"/>
        <w:spacing w:after="180" w:before="300" w:line="360"/>
      </w:pPr>
      <w:r>
        <w:rPr>
          <w:rFonts w:ascii="Times New Roman" w:cs="Times New Roman" w:eastAsia="Times New Roman" w:hAnsi="Times New Roman"/>
          <w:b/>
          <w:bCs/>
          <w:sz w:val="30"/>
          <w:szCs w:val="30"/>
        </w:rPr>
        <w:t xml:space="preserve">3.6. Особенности модели</w:t>
      </w:r>
    </w:p>
    <w:p>
      <w:pPr>
        <w:spacing w:after="120" w:line="360"/>
        <w:ind w:firstLine="72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Главная особенность процесса разработки ПО на заказ — наличие трёх независимых циклов обратной связи, что соответствует итеративной природе разработки и реальной практике. Циклы возникают на разных уровнях зрелости артефакта: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Цикл документации (ТЗ ок? = нет → Разработать ТЗ) — итеративное уточнение требований;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Цикл качества (Дефекты? = да → Исправить → Провести тестирование) — устранение технических ошибок;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Цикл приёмки (Принять? = нет → Реализовать ПО) — крупная функциональная доработка.</w:t>
      </w:r>
    </w:p>
    <w:p>
      <w:pPr>
        <w:spacing w:after="120" w:line="360"/>
        <w:ind w:firstLine="72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Модель формализует классический водопадный жизненный цикл с обратными связями (V-model). Современные agile-методологии (Scrum, Kanban) расширяют такую схему: процесс выполняется не один раз для всего продукта, а итеративно для отдельных пользовательских историй — но в каждой итерации внутренне сохраняется аналогичная структура «требования → разработка → тестирование → приёмка».</w:t>
      </w:r>
    </w:p>
    <w:p>
      <w:pPr>
        <w:pStyle w:val="Heading2"/>
        <w:spacing w:after="180" w:before="300" w:line="360"/>
      </w:pPr>
      <w:r>
        <w:rPr>
          <w:rFonts w:ascii="Times New Roman" w:cs="Times New Roman" w:eastAsia="Times New Roman" w:hAnsi="Times New Roman"/>
          <w:b/>
          <w:bCs/>
          <w:sz w:val="30"/>
          <w:szCs w:val="30"/>
        </w:rPr>
        <w:t xml:space="preserve">3.7. Технология построения диаграммы</w:t>
      </w:r>
    </w:p>
    <w:p>
      <w:pPr>
        <w:spacing w:after="120" w:line="360"/>
        <w:ind w:firstLine="72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Диаграмма создана программно — Python-скриптом generate_bpmn_software.py, использующим библиотеку cairosvg для конвертации SVG в PNG. Подход аналогичен использованному для BPMN-модели системы «Факультатив» (билет 3) и C4-диаграмм системы дистанционного обучения (билет 4): функции task(), gateway(), event(), arrow(), bent_arrow() формируют SVG-элементы по координатам, после чего cairosvg создаёт растровое изображение. Преимущество — воспроизводимость и удобство версионирования через git. Альтернативные инструменты: bpmn.io (онлайн-редактор), Camunda Modeler, Bizagi Modeler, российские BPMSoft и ELMA365.</w:t>
      </w:r>
    </w:p>
    <w:p>
      <w:pPr>
        <w:spacing w:after="120" w:line="360"/>
        <w:ind w:firstLine="72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Для воспроизведения диаграммы у себя достаточно установить cairosvg одной командой и запустить скрипт: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360"/>
      </w:tblGrid>
      <w:tr>
        <w:tc>
          <w:tcPr>
            <w:tcW w:type="dxa" w:w="936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F5F5F5" w:val="clear"/>
            <w:tcMar>
              <w:top w:type="dxa" w:w="120"/>
              <w:left w:type="dxa" w:w="160"/>
              <w:bottom w:type="dxa" w:w="120"/>
              <w:right w:type="dxa" w:w="160"/>
            </w:tcMar>
          </w:tcPr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pip install cairosvg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python generate_bpmn_software.py</w:t>
            </w:r>
          </w:p>
        </w:tc>
      </w:tr>
    </w:tbl>
    <w:p>
      <w:pPr>
        <w:spacing w:after="120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/>
      </w:r>
    </w:p>
    <w:p>
      <w:pPr>
        <w:spacing w:after="120" w:line="360"/>
        <w:ind w:firstLine="72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На выходе создаются два файла: bpmn_software.svg (векторный) и bpmn_software.png (растровый, 2900×1240 пикселей).</w:t>
      </w:r>
    </w:p>
    <w:p>
      <w:pPr>
        <w:pStyle w:val="Heading2"/>
        <w:spacing w:after="180" w:before="300" w:line="360"/>
      </w:pPr>
      <w:r>
        <w:rPr>
          <w:rFonts w:ascii="Times New Roman" w:cs="Times New Roman" w:eastAsia="Times New Roman" w:hAnsi="Times New Roman"/>
          <w:b/>
          <w:bCs/>
          <w:sz w:val="30"/>
          <w:szCs w:val="30"/>
        </w:rPr>
        <w:t xml:space="preserve">Выводы по вопросу 3</w:t>
      </w:r>
    </w:p>
    <w:p>
      <w:pPr>
        <w:spacing w:after="120" w:line="360"/>
        <w:ind w:firstLine="72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Модель BPMN процесса «Изготовление ПО на заказ» построена согласно стандартному алгоритму в восемь шагов. Определены границы процесса (от подачи заявки до подписания акта), четыре исполнителя (Заказчик, Аналитик, Разработчик, Тестировщик), семь задач и три исключающих шлюза с обратной связью. Модель отражает итеративную природу разработки программного обеспечения тремя циклами обратной связи на разных уровнях артефакта: уровне требований (цикл по ТЗ), уровне реализации (цикл по дефектам тестирования) и уровне приёмки (цикл по неудовлетворению заказчика). Это соответствует классическому водопадному жизненному циклу с обратными связями (V-model) и легко расширяется до итеративных agile-подходов. Диаграмма построена программным способом через SVG и Python-библиотеку cairosvg, что обеспечивает воспроизводимость и автоматизируемость её сопровождения.</w:t>
      </w:r>
    </w:p>
    <w:sectPr>
      <w:headerReference w:type="default" r:id="rId7"/>
      <w:footerReference w:type="default" r:id="rId8"/>
      <w:pgSz w:w="11906" w:h="16838" w:orient="portrait"/>
      <w:pgMar w:top="1134" w:right="1134" w:bottom="1134" w:left="1701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Times New Roman" w:cs="Times New Roman" w:eastAsia="Times New Roman" w:hAnsi="Times New Roman"/>
        <w:sz w:val="22"/>
        <w:szCs w:val="22"/>
      </w:rPr>
      <w:t xml:space="preserve">Стр. </w:t>
      <w:fldChar w:fldCharType="begin"/>
      <w:instrText xml:space="preserve">PAGE</w:instrText>
      <w:fldChar w:fldCharType="separate"/>
      <w:fldChar w:fldCharType="end"/>
      <w:t xml:space="preserve"> из </w:t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pPr>
      <w:jc w:val="right"/>
    </w:pPr>
    <w:r>
      <w:rPr>
        <w:rFonts w:ascii="Times New Roman" w:cs="Times New Roman" w:eastAsia="Times New Roman" w:hAnsi="Times New Roman"/>
        <w:i/>
        <w:iCs/>
        <w:sz w:val="22"/>
        <w:szCs w:val="22"/>
      </w:rPr>
      <w:t xml:space="preserve">Билет № 7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</w:abstractNum>
  <w:num w:numId="1">
    <w:abstractNumId w:val="1"/>
    <w:lvlOverride w:ilvl="0">
      <w:startOverride w:val="1"/>
    </w:lvlOverride>
  </w:num>
  <w:num w:numId="2">
    <w:abstractNumId w:val="2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cs="Times New Roman" w:eastAsia="Times New Roman" w:hAnsi="Times New Roman"/>
        <w:sz w:val="28"/>
        <w:szCs w:val="28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240" w:before="360" w:line="360"/>
      <w:jc w:val="center"/>
      <w:outlineLvl w:val="0"/>
    </w:pPr>
    <w:rPr>
      <w:rFonts w:ascii="Times New Roman" w:cs="Times New Roman" w:eastAsia="Times New Roman" w:hAnsi="Times New Roman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180" w:before="300" w:line="360"/>
      <w:outlineLvl w:val="1"/>
    </w:pPr>
    <w:rPr>
      <w:rFonts w:ascii="Times New Roman" w:cs="Times New Roman" w:eastAsia="Times New Roman" w:hAnsi="Times New Roman"/>
      <w:b/>
      <w:bCs/>
      <w:sz w:val="30"/>
      <w:szCs w:val="30"/>
    </w:rPr>
  </w:style>
  <w:style w:type="paragraph" w:styleId="Heading3">
    <w:name w:val="Heading 3"/>
    <w:basedOn w:val="Normal"/>
    <w:next w:val="Normal"/>
    <w:qFormat/>
    <w:pPr>
      <w:spacing w:after="120" w:before="240" w:line="360"/>
      <w:outlineLvl w:val="2"/>
    </w:pPr>
    <w:rPr>
      <w:rFonts w:ascii="Times New Roman" w:cs="Times New Roman" w:eastAsia="Times New Roman" w:hAnsi="Times New Roman"/>
      <w:b/>
      <w:bCs/>
      <w:i/>
      <w:iCs/>
      <w:sz w:val="28"/>
      <w:szCs w:val="28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35f799371ed5723854f814135347433cfea2efef.png"/><Relationship Id="rId10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2026-05-26T15:27:54.893Z</dcterms:created>
  <dcterms:modified xsi:type="dcterms:W3CDTF">2026-05-26T15:27:54.912Z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