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0" w:before="1200"/>
        <w:jc w:val="center"/>
      </w:pPr>
      <w:r>
        <w:rPr>
          <w:rFonts w:ascii="Times New Roman" w:cs="Times New Roman" w:eastAsia="Times New Roman" w:hAnsi="Times New Roman"/>
          <w:b/>
          <w:bCs/>
          <w:sz w:val="24"/>
          <w:szCs w:val="24"/>
        </w:rPr>
        <w:t xml:space="preserve">Министерство цифрового развития, связи и массовых коммуникаций</w:t>
      </w:r>
    </w:p>
    <w:p>
      <w:pPr>
        <w:spacing w:after="200"/>
        <w:jc w:val="center"/>
      </w:pPr>
      <w:r>
        <w:rPr>
          <w:rFonts w:ascii="Times New Roman" w:cs="Times New Roman" w:eastAsia="Times New Roman" w:hAnsi="Times New Roman"/>
          <w:b/>
          <w:bCs/>
          <w:sz w:val="24"/>
          <w:szCs w:val="24"/>
        </w:rPr>
        <w:t xml:space="preserve">Российской Федерации</w:t>
      </w:r>
    </w:p>
    <w:p>
      <w:pPr>
        <w:spacing w:after="200"/>
        <w:jc w:val="center"/>
      </w:pPr>
      <w:r>
        <w:rPr>
          <w:rFonts w:ascii="Times New Roman" w:cs="Times New Roman" w:eastAsia="Times New Roman" w:hAnsi="Times New Roman"/>
          <w:sz w:val="24"/>
          <w:szCs w:val="24"/>
        </w:rPr>
        <w:t xml:space="preserve">ФГБОУ ВО «Сибирский государственный университет телекоммуникаций и информатики»</w:t>
      </w:r>
    </w:p>
    <w:p>
      <w:pPr>
        <w:spacing w:after="1000"/>
        <w:jc w:val="center"/>
      </w:pPr>
      <w:r>
        <w:rPr>
          <w:rFonts w:ascii="Times New Roman" w:cs="Times New Roman" w:eastAsia="Times New Roman" w:hAnsi="Times New Roman"/>
          <w:sz w:val="24"/>
          <w:szCs w:val="24"/>
        </w:rPr>
        <w:t xml:space="preserve">Уральский технический институт связи и информатики (УрТИСИ СибГУТИ)</w:t>
      </w:r>
    </w:p>
    <w:p>
      <w:pPr>
        <w:spacing w:after="200"/>
        <w:jc w:val="center"/>
      </w:pPr>
      <w:r>
        <w:rPr>
          <w:rFonts w:ascii="Times New Roman" w:cs="Times New Roman" w:eastAsia="Times New Roman" w:hAnsi="Times New Roman"/>
          <w:b/>
          <w:bCs/>
          <w:sz w:val="36"/>
          <w:szCs w:val="36"/>
        </w:rPr>
        <w:t xml:space="preserve">ОТВЕТЫ НА ЭКЗАМЕНАЦИОННЫЙ БИЛЕТ № 8</w:t>
      </w:r>
    </w:p>
    <w:p>
      <w:pPr>
        <w:spacing w:after="400"/>
        <w:jc w:val="center"/>
      </w:pPr>
      <w:r>
        <w:rPr>
          <w:rFonts w:ascii="Times New Roman" w:cs="Times New Roman" w:eastAsia="Times New Roman" w:hAnsi="Times New Roman"/>
          <w:i/>
          <w:iCs/>
          <w:sz w:val="26"/>
          <w:szCs w:val="26"/>
        </w:rPr>
        <w:t xml:space="preserve">Итоговый государственный междисциплинарный экзамен</w:t>
      </w:r>
    </w:p>
    <w:p>
      <w:pPr>
        <w:spacing w:after="200"/>
        <w:jc w:val="center"/>
      </w:pPr>
      <w:r>
        <w:rPr>
          <w:rFonts w:ascii="Times New Roman" w:cs="Times New Roman" w:eastAsia="Times New Roman" w:hAnsi="Times New Roman"/>
          <w:sz w:val="26"/>
          <w:szCs w:val="26"/>
        </w:rPr>
        <w:t xml:space="preserve">Направление подготовки 09.04.01 «Информатика и вычислительная техника»</w:t>
      </w:r>
    </w:p>
    <w:p>
      <w:pPr>
        <w:spacing w:after="800"/>
        <w:jc w:val="center"/>
      </w:pPr>
      <w:r>
        <w:rPr>
          <w:rFonts w:ascii="Times New Roman" w:cs="Times New Roman" w:eastAsia="Times New Roman" w:hAnsi="Times New Roman"/>
          <w:sz w:val="26"/>
          <w:szCs w:val="26"/>
        </w:rPr>
        <w:t xml:space="preserve">Профиль: «Инженерия программного обеспечения и информационных систем»</w:t>
      </w:r>
    </w:p>
    <w:p>
      <w:pPr>
        <w:spacing w:after="240" w:before="600"/>
      </w:pPr>
      <w:r>
        <w:rPr>
          <w:rFonts w:ascii="Times New Roman" w:cs="Times New Roman" w:eastAsia="Times New Roman" w:hAnsi="Times New Roman"/>
          <w:b/>
          <w:bCs/>
          <w:sz w:val="28"/>
          <w:szCs w:val="28"/>
        </w:rPr>
        <w:t xml:space="preserve">Вопросы билета:</w:t>
      </w:r>
    </w:p>
    <w:p>
      <w:pPr>
        <w:spacing w:after="120"/>
        <w:ind w:firstLine="720"/>
        <w:jc w:val="both"/>
      </w:pPr>
      <w:r>
        <w:rPr>
          <w:rFonts w:ascii="Times New Roman" w:cs="Times New Roman" w:eastAsia="Times New Roman" w:hAnsi="Times New Roman"/>
          <w:sz w:val="28"/>
          <w:szCs w:val="28"/>
        </w:rPr>
        <w:t xml:space="preserve">1. Искусственный интеллект: определение, сферы использования.</w:t>
      </w:r>
    </w:p>
    <w:p>
      <w:pPr>
        <w:spacing w:after="120"/>
        <w:ind w:firstLine="720"/>
        <w:jc w:val="both"/>
      </w:pPr>
      <w:r>
        <w:rPr>
          <w:rFonts w:ascii="Times New Roman" w:cs="Times New Roman" w:eastAsia="Times New Roman" w:hAnsi="Times New Roman"/>
          <w:sz w:val="28"/>
          <w:szCs w:val="28"/>
        </w:rPr>
        <w:t xml:space="preserve">2. Социальные проблемы информатизации общества.</w:t>
      </w:r>
    </w:p>
    <w:p>
      <w:pPr>
        <w:spacing w:after="120"/>
        <w:ind w:firstLine="720"/>
        <w:jc w:val="both"/>
      </w:pPr>
      <w:r>
        <w:rPr>
          <w:rFonts w:ascii="Times New Roman" w:cs="Times New Roman" w:eastAsia="Times New Roman" w:hAnsi="Times New Roman"/>
          <w:sz w:val="28"/>
          <w:szCs w:val="28"/>
        </w:rPr>
        <w:t xml:space="preserve">3. Загрузите датасет medical_exams.csv с помощью pandas и посчитайте количество обследований для мужчин и женщин. Постройте столбчатую диаграмму среднего уровня холестерина для каждого диагноза.</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1. Искусственный интеллект: определение, сферы использования</w:t>
      </w:r>
    </w:p>
    <w:p>
      <w:pPr>
        <w:pStyle w:val="Heading2"/>
        <w:spacing w:after="180" w:before="300" w:line="360"/>
      </w:pPr>
      <w:r>
        <w:rPr>
          <w:rFonts w:ascii="Times New Roman" w:cs="Times New Roman" w:eastAsia="Times New Roman" w:hAnsi="Times New Roman"/>
          <w:b/>
          <w:bCs/>
          <w:sz w:val="30"/>
          <w:szCs w:val="30"/>
        </w:rPr>
        <w:t xml:space="preserve">1.1. Определения искусственного интеллекта</w:t>
      </w:r>
    </w:p>
    <w:p>
      <w:pPr>
        <w:spacing w:after="120" w:line="360"/>
        <w:ind w:firstLine="720"/>
        <w:jc w:val="both"/>
      </w:pPr>
      <w:r>
        <w:rPr>
          <w:rFonts w:ascii="Times New Roman" w:cs="Times New Roman" w:eastAsia="Times New Roman" w:hAnsi="Times New Roman"/>
          <w:sz w:val="28"/>
          <w:szCs w:val="28"/>
        </w:rPr>
        <w:t xml:space="preserve">Искусственный интеллект (ИИ; англ. Artificial Intelligence, AI) — это область информатики и инженерии, занимающаяся созданием программных и аппаратных систем, способных выполнять задачи, традиционно требующие человеческого интеллекта: восприятие визуальной информации, понимание естественного языка, принятие решений, обучение на основе опыта, рассуждение, творчество. Сам термин «искусственный интеллект» предложен Джоном Маккарти на знаменитой Дартмутской конференции 1956 года, считающейся датой рождения ИИ как самостоятельной научной дисциплины.</w:t>
      </w:r>
    </w:p>
    <w:p>
      <w:pPr>
        <w:spacing w:after="120" w:line="360"/>
        <w:ind w:firstLine="720"/>
        <w:jc w:val="both"/>
      </w:pPr>
      <w:r>
        <w:rPr>
          <w:rFonts w:ascii="Times New Roman" w:cs="Times New Roman" w:eastAsia="Times New Roman" w:hAnsi="Times New Roman"/>
          <w:sz w:val="28"/>
          <w:szCs w:val="28"/>
        </w:rPr>
        <w:t xml:space="preserve">Существует несколько канонических определений ИИ, отражающих разные подходы: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Определение Алана Тьюринга (1950, «Computing Machinery and Intelligence»). </w:t>
      </w:r>
      <w:r>
        <w:rPr>
          <w:rFonts w:ascii="Times New Roman" w:cs="Times New Roman" w:eastAsia="Times New Roman" w:hAnsi="Times New Roman"/>
          <w:sz w:val="28"/>
          <w:szCs w:val="28"/>
        </w:rPr>
        <w:t xml:space="preserve">Машина считается интеллектуальной, если в текстовом диалоге собеседник не может отличить её от человека — знаменитый тест Тьюринга;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Определение Маккарти (1956). </w:t>
      </w:r>
      <w:r>
        <w:rPr>
          <w:rFonts w:ascii="Times New Roman" w:cs="Times New Roman" w:eastAsia="Times New Roman" w:hAnsi="Times New Roman"/>
          <w:sz w:val="28"/>
          <w:szCs w:val="28"/>
        </w:rPr>
        <w:t xml:space="preserve">ИИ — это «наука и инженерия создания интеллектуальных машин, особенно интеллектуальных компьютерных программ»;</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Современное определение Стюарта Рассела и Питера Норвига </w:t>
      </w:r>
      <w:r>
        <w:rPr>
          <w:rFonts w:ascii="Times New Roman" w:cs="Times New Roman" w:eastAsia="Times New Roman" w:hAnsi="Times New Roman"/>
          <w:sz w:val="28"/>
          <w:szCs w:val="28"/>
        </w:rPr>
        <w:t xml:space="preserve">(«Artificial Intelligence: A Modern Approach», 3-е изд.) — четыре подхода к ИИ по двум измерениям (мыслить/действовать × как человек / рационально): системы, которые думают как люди; системы, которые думают рационально; системы, которые действуют как люди (тест Тьюринга); системы, которые действуют рационально (rational agents — доминирующий современный подход);</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Юридическое определение в РФ </w:t>
      </w:r>
      <w:r>
        <w:rPr>
          <w:rFonts w:ascii="Times New Roman" w:cs="Times New Roman" w:eastAsia="Times New Roman" w:hAnsi="Times New Roman"/>
          <w:sz w:val="28"/>
          <w:szCs w:val="28"/>
        </w:rPr>
        <w:t xml:space="preserve">(Указ Президента № 490 от 10.10.2019 «О Стратегии развития ИИ в РФ») — 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с результатами интеллектуальной деятельности человека.</w:t>
      </w:r>
    </w:p>
    <w:p>
      <w:pPr>
        <w:pStyle w:val="Heading2"/>
        <w:spacing w:after="180" w:before="300" w:line="360"/>
      </w:pPr>
      <w:r>
        <w:rPr>
          <w:rFonts w:ascii="Times New Roman" w:cs="Times New Roman" w:eastAsia="Times New Roman" w:hAnsi="Times New Roman"/>
          <w:b/>
          <w:bCs/>
          <w:sz w:val="30"/>
          <w:szCs w:val="30"/>
        </w:rPr>
        <w:t xml:space="preserve">1.2. Классификация систем ИИ</w:t>
      </w:r>
    </w:p>
    <w:p>
      <w:pPr>
        <w:spacing w:after="120" w:line="360"/>
        <w:ind w:firstLine="720"/>
        <w:jc w:val="both"/>
      </w:pPr>
      <w:r>
        <w:rPr>
          <w:rFonts w:ascii="Times New Roman" w:cs="Times New Roman" w:eastAsia="Times New Roman" w:hAnsi="Times New Roman"/>
          <w:sz w:val="28"/>
          <w:szCs w:val="28"/>
        </w:rPr>
        <w:t xml:space="preserve">Существует несколько ортогональных классификаций ИИ-систем. Наиболее распространены три.</w:t>
      </w:r>
    </w:p>
    <w:p>
      <w:pPr>
        <w:pStyle w:val="Heading3"/>
        <w:spacing w:after="120" w:before="240" w:line="360"/>
      </w:pPr>
      <w:r>
        <w:rPr>
          <w:rFonts w:ascii="Times New Roman" w:cs="Times New Roman" w:eastAsia="Times New Roman" w:hAnsi="Times New Roman"/>
          <w:b/>
          <w:bCs/>
          <w:i/>
          <w:iCs/>
          <w:sz w:val="28"/>
          <w:szCs w:val="28"/>
        </w:rPr>
        <w:t xml:space="preserve">По уровню интеллекта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Узкий ИИ (Artificial Narrow Intelligence, ANI). </w:t>
      </w:r>
      <w:r>
        <w:rPr>
          <w:rFonts w:ascii="Times New Roman" w:cs="Times New Roman" w:eastAsia="Times New Roman" w:hAnsi="Times New Roman"/>
          <w:sz w:val="28"/>
          <w:szCs w:val="28"/>
        </w:rPr>
        <w:t xml:space="preserve">Способен решать узкоспециализированные задачи (распознавать лица, играть в шахматы, переводить тексты), но не обладает общим интеллектом. Весь существующий сегодня ИИ относится именно к этой категории, включая ChatGPT и аналоги, несмотря на впечатляющие возможности;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Общий ИИ (Artificial General Intelligence, AGI). </w:t>
      </w:r>
      <w:r>
        <w:rPr>
          <w:rFonts w:ascii="Times New Roman" w:cs="Times New Roman" w:eastAsia="Times New Roman" w:hAnsi="Times New Roman"/>
          <w:sz w:val="28"/>
          <w:szCs w:val="28"/>
        </w:rPr>
        <w:t xml:space="preserve">Гипотетическая система, способная решать любые интеллектуальные задачи на уровне человека. Не реализована и является предметом активных дискуссий и исследований — её появление прогнозируется разными экспертами от 2030 до 2060 года;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Сверхинтеллект (Artificial Superintelligence, ASI). </w:t>
      </w:r>
      <w:r>
        <w:rPr>
          <w:rFonts w:ascii="Times New Roman" w:cs="Times New Roman" w:eastAsia="Times New Roman" w:hAnsi="Times New Roman"/>
          <w:sz w:val="28"/>
          <w:szCs w:val="28"/>
        </w:rPr>
        <w:t xml:space="preserve">Гипотетическая система, превосходящая человеческий интеллект во всех областях. Концепция Ника Бострома («Superintelligence», 2014).</w:t>
      </w:r>
    </w:p>
    <w:p>
      <w:pPr>
        <w:pStyle w:val="Heading3"/>
        <w:spacing w:after="120" w:before="240" w:line="360"/>
      </w:pPr>
      <w:r>
        <w:rPr>
          <w:rFonts w:ascii="Times New Roman" w:cs="Times New Roman" w:eastAsia="Times New Roman" w:hAnsi="Times New Roman"/>
          <w:b/>
          <w:bCs/>
          <w:i/>
          <w:iCs/>
          <w:sz w:val="28"/>
          <w:szCs w:val="28"/>
        </w:rPr>
        <w:t xml:space="preserve">По типу подхода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Символический ИИ (Symbolic AI, GOFAI — Good Old-Fashioned AI). </w:t>
      </w:r>
      <w:r>
        <w:rPr>
          <w:rFonts w:ascii="Times New Roman" w:cs="Times New Roman" w:eastAsia="Times New Roman" w:hAnsi="Times New Roman"/>
          <w:sz w:val="28"/>
          <w:szCs w:val="28"/>
        </w:rPr>
        <w:t xml:space="preserve">Основан на формальной логике, правилах и явных знаниях. Доминировал в 1960–1980-е годы. Примеры: экспертные системы (MYCIN, DENDRAL), Prolog;</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Коннекционистский подход (нейросетевой). </w:t>
      </w:r>
      <w:r>
        <w:rPr>
          <w:rFonts w:ascii="Times New Roman" w:cs="Times New Roman" w:eastAsia="Times New Roman" w:hAnsi="Times New Roman"/>
          <w:sz w:val="28"/>
          <w:szCs w:val="28"/>
        </w:rPr>
        <w:t xml:space="preserve">Основан на искусственных нейронных сетях, имитирующих работу мозга. Возник в 1958 году (перцептрон Розенблатта), прошёл через две «зимы ИИ» и расцвёл с середины 2010-х благодаря глубокому обучению (Deep Learning) и большим вычислительным мощностям (GPU);</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Гибридные системы. </w:t>
      </w:r>
      <w:r>
        <w:rPr>
          <w:rFonts w:ascii="Times New Roman" w:cs="Times New Roman" w:eastAsia="Times New Roman" w:hAnsi="Times New Roman"/>
          <w:sz w:val="28"/>
          <w:szCs w:val="28"/>
        </w:rPr>
        <w:t xml:space="preserve">Сочетают символический и коннекционистский подходы (Neuro-Symbolic AI).</w:t>
      </w:r>
    </w:p>
    <w:p>
      <w:pPr>
        <w:pStyle w:val="Heading3"/>
        <w:spacing w:after="120" w:before="240" w:line="360"/>
      </w:pPr>
      <w:r>
        <w:rPr>
          <w:rFonts w:ascii="Times New Roman" w:cs="Times New Roman" w:eastAsia="Times New Roman" w:hAnsi="Times New Roman"/>
          <w:b/>
          <w:bCs/>
          <w:i/>
          <w:iCs/>
          <w:sz w:val="28"/>
          <w:szCs w:val="28"/>
        </w:rPr>
        <w:t xml:space="preserve">По типу обучения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Обучение с учителем (Supervised Learning) — на размеченных данных;</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Обучение без учителя (Unsupervised Learning) — поиск структуры в данных без меток;</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Обучение с подкреплением (Reinforcement Learning) — обучение через награды и штрафы в среде;</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Самообучение (Self-Supervised Learning) — современный подход, лежащий в основе LLM.</w:t>
      </w:r>
    </w:p>
    <w:p>
      <w:pPr>
        <w:pStyle w:val="Heading2"/>
        <w:spacing w:after="180" w:before="300" w:line="360"/>
      </w:pPr>
      <w:r>
        <w:rPr>
          <w:rFonts w:ascii="Times New Roman" w:cs="Times New Roman" w:eastAsia="Times New Roman" w:hAnsi="Times New Roman"/>
          <w:b/>
          <w:bCs/>
          <w:sz w:val="30"/>
          <w:szCs w:val="30"/>
        </w:rPr>
        <w:t xml:space="preserve">1.3. История развития</w:t>
      </w:r>
    </w:p>
    <w:p>
      <w:pPr>
        <w:spacing w:after="120" w:line="360"/>
        <w:ind w:firstLine="720"/>
        <w:jc w:val="both"/>
      </w:pPr>
      <w:r>
        <w:rPr>
          <w:rFonts w:ascii="Times New Roman" w:cs="Times New Roman" w:eastAsia="Times New Roman" w:hAnsi="Times New Roman"/>
          <w:sz w:val="28"/>
          <w:szCs w:val="28"/>
        </w:rPr>
        <w:t xml:space="preserve">Развитие ИИ принято делить на несколько этапов: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1943 — модель искусственного нейрона МакКаллока — Питтса;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1950 — Алан Тьюринг публикует работу о возможности машинного мышления и тест Тьюринга;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1956 — Дартмутская конференция: рождение ИИ как дисциплины;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1957 — Розенблатт создаёт перцептрон — первую обучаемую нейросеть;</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1960–70-е — расцвет символического ИИ, экспертные системы;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1974–80, 1987–93 — две «зимы ИИ» (сокращение финансирования из-за разочарования);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1997 — Deep Blue побеждает Каспарова в шахматах;</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2011 — IBM Watson побеждает в Jeopardy!;</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2012 — AlexNet революционизирует распознавание изображений (ImageNet);</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2016 — AlphaGo побеждает чемпиона по го Ли Седоля;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2017 — публикация статьи «Attention is All You Need» (трансформер);</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2020 — выход GPT-3 (175 млрд параметров);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2022 — запуск ChatGPT и широкое распространение генеративного ИИ;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2023–2025 — GPT-4o, Claude, Gemini, российские GigaChat и YandexGPT; интеграция ИИ в офисные пакеты и поисковые системы.</w:t>
      </w:r>
    </w:p>
    <w:p>
      <w:pPr>
        <w:pStyle w:val="Heading2"/>
        <w:spacing w:after="180" w:before="300" w:line="360"/>
      </w:pPr>
      <w:r>
        <w:rPr>
          <w:rFonts w:ascii="Times New Roman" w:cs="Times New Roman" w:eastAsia="Times New Roman" w:hAnsi="Times New Roman"/>
          <w:b/>
          <w:bCs/>
          <w:sz w:val="30"/>
          <w:szCs w:val="30"/>
        </w:rPr>
        <w:t xml:space="preserve">1.4. Сферы применения искусственного интеллекта</w:t>
      </w:r>
    </w:p>
    <w:p>
      <w:pPr>
        <w:spacing w:after="120" w:line="360"/>
        <w:ind w:firstLine="720"/>
        <w:jc w:val="both"/>
      </w:pPr>
      <w:r>
        <w:rPr>
          <w:rFonts w:ascii="Times New Roman" w:cs="Times New Roman" w:eastAsia="Times New Roman" w:hAnsi="Times New Roman"/>
          <w:sz w:val="28"/>
          <w:szCs w:val="28"/>
        </w:rPr>
        <w:t xml:space="preserve">Искусственный интеллект сегодня применяется фактически во всех областях человеческой деятельности. В таблице ниже представлены ключевые сферы применения с указанием конкретных технологий, задач и примеров реальных систем.</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500"/>
        <w:gridCol w:w="346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70"/>
              <w:left w:type="dxa" w:w="100"/>
              <w:bottom w:type="dxa" w:w="70"/>
              <w:right w:type="dxa" w:w="100"/>
            </w:tcMar>
          </w:tcPr>
          <w:p>
            <w:pPr>
              <w:jc w:val="center"/>
            </w:pPr>
            <w:r>
              <w:rPr>
                <w:rFonts w:ascii="Times New Roman" w:cs="Times New Roman" w:eastAsia="Times New Roman" w:hAnsi="Times New Roman"/>
                <w:b/>
                <w:bCs/>
                <w:sz w:val="24"/>
                <w:szCs w:val="24"/>
              </w:rPr>
              <w:t xml:space="preserve">Сфера применения</w:t>
            </w:r>
          </w:p>
        </w:tc>
        <w:tc>
          <w:tcPr>
            <w:tcW w:type="dxa" w:w="0"/>
            <w:tcBorders>
              <w:top w:val="single" w:color="888888" w:sz="4"/>
              <w:left w:val="single" w:color="888888" w:sz="4"/>
              <w:bottom w:val="single" w:color="888888" w:sz="4"/>
              <w:right w:val="single" w:color="888888" w:sz="4"/>
            </w:tcBorders>
            <w:shd w:fill="D9E2F3" w:val="clear"/>
            <w:tcMar>
              <w:top w:type="dxa" w:w="70"/>
              <w:left w:type="dxa" w:w="100"/>
              <w:bottom w:type="dxa" w:w="70"/>
              <w:right w:type="dxa" w:w="100"/>
            </w:tcMar>
          </w:tcPr>
          <w:p>
            <w:pPr>
              <w:jc w:val="center"/>
            </w:pPr>
            <w:r>
              <w:rPr>
                <w:rFonts w:ascii="Times New Roman" w:cs="Times New Roman" w:eastAsia="Times New Roman" w:hAnsi="Times New Roman"/>
                <w:b/>
                <w:bCs/>
                <w:sz w:val="24"/>
                <w:szCs w:val="24"/>
              </w:rPr>
              <w:t xml:space="preserve">Технологии и задачи</w:t>
            </w:r>
          </w:p>
        </w:tc>
        <w:tc>
          <w:tcPr>
            <w:tcW w:type="dxa" w:w="0"/>
            <w:tcBorders>
              <w:top w:val="single" w:color="888888" w:sz="4"/>
              <w:left w:val="single" w:color="888888" w:sz="4"/>
              <w:bottom w:val="single" w:color="888888" w:sz="4"/>
              <w:right w:val="single" w:color="888888" w:sz="4"/>
            </w:tcBorders>
            <w:shd w:fill="D9E2F3" w:val="clear"/>
            <w:tcMar>
              <w:top w:type="dxa" w:w="70"/>
              <w:left w:type="dxa" w:w="100"/>
              <w:bottom w:type="dxa" w:w="70"/>
              <w:right w:type="dxa" w:w="100"/>
            </w:tcMar>
          </w:tcPr>
          <w:p>
            <w:pPr>
              <w:jc w:val="center"/>
            </w:pPr>
            <w:r>
              <w:rPr>
                <w:rFonts w:ascii="Times New Roman" w:cs="Times New Roman" w:eastAsia="Times New Roman" w:hAnsi="Times New Roman"/>
                <w:b/>
                <w:bCs/>
                <w:sz w:val="24"/>
                <w:szCs w:val="24"/>
              </w:rPr>
              <w:t xml:space="preserve">Примеры</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Обработка естественного языка (NLP)</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Чат-боты, машинный перевод, реферирование, анализ тональности</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ChatGPT, Claude, GigaChat, YandexGPT, DeepL, переводчик Яндекса</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Компьютерное зрение (CV)</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Распознавание лиц, объектов, OCR, медицинская визуализация, беспилотный транспорт</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Face ID, СБП, диагностика КТ/МРТ, автопилоты Tesla / Яндекс</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Распознавание и синтез речи</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STT (Speech-to-Text), TTS (Text-to-Speech), голосовые ассистенты</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Алиса, Маруся, Siri, Alexa, Whisper, ElevenLabs</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Рекомендательные системы</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Персонализированные рекомендации товаров и контента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Netflix, YouTube, Wildberries, Ozon, Yandex Music, СберМаркет</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Финансы и банкинг</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Скоринг, антифрод, алгоритмическая торговля, прогноз курсов</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Сбер, Тинькофф, банковские антифрод-системы, биржевые роботы</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Медицина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Диагностика по снимкам, прогноз заболеваний, разработка лекарств</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IBM Watson Health, Botkin.AI, DeepMind AlphaFold</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Транспорт</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Беспилотные автомобили, оптимизация маршрутов</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Tesla Autopilot, Яндекс Беспилотники, Waymo</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Игры и развлечения</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Игровой ИИ, генерация контента, NPC, deepfake</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AlphaGo, Dota 2 OpenAI Five, StarCraft AlphaStar</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Промышленность</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Предиктивное ТО, оптимизация процессов, контроль качества</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Siemens, Газпром нефть, Северсталь, Industry 4.0</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Безопасность</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Биометрия, видеонаблюдение, кибербезопасность</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ЕБС, городские системы видеонаблюдения, ML-антивирусы</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Сельское хозяйство</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Анализ почв, точное земледелие, мониторинг урожая</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John Deere, Cognitive Pilot</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Образование</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Адаптивное обучение, проверка работ, помощь студентам</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Khan Academy, Duolingo, GigaChat Education</w:t>
            </w:r>
          </w:p>
        </w:tc>
      </w:tr>
      <w:tr>
        <w:trPr>
          <w:tblHeader w:val="false"/>
        </w:trPr>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Генеративный ИИ</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Генерация текста, изображений, кода, видео, музыки</w:t>
            </w:r>
          </w:p>
        </w:tc>
        <w:tc>
          <w:tcPr>
            <w:tcW w:type="dxa" w:w="0"/>
            <w:tcBorders>
              <w:top w:val="single" w:color="888888" w:sz="4"/>
              <w:left w:val="single" w:color="888888" w:sz="4"/>
              <w:bottom w:val="single" w:color="888888" w:sz="4"/>
              <w:right w:val="single" w:color="888888" w:sz="4"/>
            </w:tcBorders>
            <w:tcMar>
              <w:top w:type="dxa" w:w="70"/>
              <w:left w:type="dxa" w:w="100"/>
              <w:bottom w:type="dxa" w:w="70"/>
              <w:right w:type="dxa" w:w="100"/>
            </w:tcMar>
          </w:tcPr>
          <w:p>
            <w:pPr>
              <w:jc w:val="left"/>
            </w:pPr>
            <w:r>
              <w:rPr>
                <w:rFonts w:ascii="Times New Roman" w:cs="Times New Roman" w:eastAsia="Times New Roman" w:hAnsi="Times New Roman"/>
                <w:b w:val="false"/>
                <w:bCs w:val="false"/>
                <w:sz w:val="22"/>
                <w:szCs w:val="22"/>
              </w:rPr>
              <w:t xml:space="preserve">GPT-4o, Midjourney, DALL-E, Stable Diffusion, Kandinsky, Suno</w:t>
            </w:r>
          </w:p>
        </w:tc>
      </w:tr>
    </w:tbl>
    <w:p>
      <w:pPr>
        <w:spacing w:after="120"/>
      </w:pPr>
      <w:r>
        <w:rPr>
          <w:rFonts w:ascii="Times New Roman" w:cs="Times New Roman" w:eastAsia="Times New Roman" w:hAnsi="Times New Roman"/>
          <w:sz w:val="28"/>
          <w:szCs w:val="28"/>
        </w:rPr>
        <w:t xml:space="preserve"/>
      </w:r>
    </w:p>
    <w:p>
      <w:pPr>
        <w:pStyle w:val="Heading3"/>
        <w:spacing w:after="120" w:before="240" w:line="360"/>
      </w:pPr>
      <w:r>
        <w:rPr>
          <w:rFonts w:ascii="Times New Roman" w:cs="Times New Roman" w:eastAsia="Times New Roman" w:hAnsi="Times New Roman"/>
          <w:b/>
          <w:bCs/>
          <w:i/>
          <w:iCs/>
          <w:sz w:val="28"/>
          <w:szCs w:val="28"/>
        </w:rPr>
        <w:t xml:space="preserve">Подробнее о ключевых направлениях</w:t>
      </w:r>
    </w:p>
    <w:p>
      <w:pPr>
        <w:spacing w:after="120" w:line="360"/>
        <w:ind w:firstLine="720"/>
        <w:jc w:val="both"/>
      </w:pPr>
      <w:r>
        <w:rPr>
          <w:rFonts w:ascii="Times New Roman" w:cs="Times New Roman" w:eastAsia="Times New Roman" w:hAnsi="Times New Roman"/>
          <w:sz w:val="28"/>
          <w:szCs w:val="28"/>
        </w:rPr>
        <w:t xml:space="preserve">Обработка естественного языка (Natural Language Processing, NLP) — машинный перевод, реферирование, классификация документов, генерация связных текстов. Прорыв 2017 года — архитектура трансформера (Vaswani и др.) — лёг в основу всех современных больших языковых моделей. С 2022 года NLP стал доступен массовому пользователю благодаря интерфейсам типа ChatGPT, что вызвало кардинальное изменение рынка корпоративного и образовательного ПО.</w:t>
      </w:r>
    </w:p>
    <w:p>
      <w:pPr>
        <w:spacing w:after="120" w:line="360"/>
        <w:ind w:firstLine="720"/>
        <w:jc w:val="both"/>
      </w:pPr>
      <w:r>
        <w:rPr>
          <w:rFonts w:ascii="Times New Roman" w:cs="Times New Roman" w:eastAsia="Times New Roman" w:hAnsi="Times New Roman"/>
          <w:sz w:val="28"/>
          <w:szCs w:val="28"/>
        </w:rPr>
        <w:t xml:space="preserve">Компьютерное зрение (Computer Vision, CV) — задачи восприятия и анализа изображений: классификация, детекция объектов, сегментация, распознавание лиц, OCR, обработка медицинских снимков. Революция 2012 года — сеть AlexNet с использованием свёрточных слоёв (CNN) на GPU. Сегодня CV — основа автономного транспорта, систем безопасности, медицинской диагностики, контроля качества в промышленности.</w:t>
      </w:r>
    </w:p>
    <w:p>
      <w:pPr>
        <w:spacing w:after="120" w:line="360"/>
        <w:ind w:firstLine="720"/>
        <w:jc w:val="both"/>
      </w:pPr>
      <w:r>
        <w:rPr>
          <w:rFonts w:ascii="Times New Roman" w:cs="Times New Roman" w:eastAsia="Times New Roman" w:hAnsi="Times New Roman"/>
          <w:sz w:val="28"/>
          <w:szCs w:val="28"/>
        </w:rPr>
        <w:t xml:space="preserve">Генеративный ИИ — направление, возникшее в 2014 году (GAN Йэна Гудфеллоу) и взорвавшееся в 2022–2025 годах. Большие языковые модели (LLM) генерируют текст, диффузионные модели (DALL-E, Stable Diffusion, Kandinsky) — изображения, новые подходы — видео (Sora) и музыку (Suno). Генеративный ИИ изменил творческие индустрии, рекламу, программирование (Copilot, Cursor).</w:t>
      </w:r>
    </w:p>
    <w:p>
      <w:pPr>
        <w:spacing w:after="120" w:line="360"/>
        <w:ind w:firstLine="720"/>
        <w:jc w:val="both"/>
      </w:pPr>
      <w:r>
        <w:rPr>
          <w:rFonts w:ascii="Times New Roman" w:cs="Times New Roman" w:eastAsia="Times New Roman" w:hAnsi="Times New Roman"/>
          <w:sz w:val="28"/>
          <w:szCs w:val="28"/>
        </w:rPr>
        <w:t xml:space="preserve">Робототехника и автономный транспорт — комбинация ИИ с физическими системами. Беспилотные автомобили (Tesla, Waymo, Яндекс Беспилотники), промышленные роботы, дроны, гуманоидные роботы (Boston Dynamics, Optimus от Tesla). Развитие сдерживается требованиями к надёжности и стоимости сенсоров (LiDAR).</w:t>
      </w:r>
    </w:p>
    <w:p>
      <w:pPr>
        <w:spacing w:after="120" w:line="360"/>
        <w:ind w:firstLine="720"/>
        <w:jc w:val="both"/>
      </w:pPr>
      <w:r>
        <w:rPr>
          <w:rFonts w:ascii="Times New Roman" w:cs="Times New Roman" w:eastAsia="Times New Roman" w:hAnsi="Times New Roman"/>
          <w:sz w:val="28"/>
          <w:szCs w:val="28"/>
        </w:rPr>
        <w:t xml:space="preserve">Медицина — ИИ помогает диагностировать заболевания по рентгенам, КТ и МРТ (Botkin.AI в РФ, Lunit, Aidoc); прогнозирует течение болезней; ускоряет разработку лекарств (AlphaFold от DeepMind в 2020 году решил 50-летнюю проблему предсказания структуры белков, что было отмечено Нобелевской премией по химии 2024 года).</w:t>
      </w:r>
    </w:p>
    <w:p>
      <w:pPr>
        <w:pStyle w:val="Heading2"/>
        <w:spacing w:after="180" w:before="300" w:line="360"/>
      </w:pPr>
      <w:r>
        <w:rPr>
          <w:rFonts w:ascii="Times New Roman" w:cs="Times New Roman" w:eastAsia="Times New Roman" w:hAnsi="Times New Roman"/>
          <w:b/>
          <w:bCs/>
          <w:sz w:val="30"/>
          <w:szCs w:val="30"/>
        </w:rPr>
        <w:t xml:space="preserve">1.5. Состояние ИИ в Российской Федерации</w:t>
      </w:r>
    </w:p>
    <w:p>
      <w:pPr>
        <w:spacing w:after="120" w:line="360"/>
        <w:ind w:firstLine="720"/>
        <w:jc w:val="both"/>
      </w:pPr>
      <w:r>
        <w:rPr>
          <w:rFonts w:ascii="Times New Roman" w:cs="Times New Roman" w:eastAsia="Times New Roman" w:hAnsi="Times New Roman"/>
          <w:sz w:val="28"/>
          <w:szCs w:val="28"/>
        </w:rPr>
        <w:t xml:space="preserve">В России развитие ИИ является приоритетом государственной политики, что закреплено в Стратегии развития искусственного интеллекта до 2030 года (Указ Президента РФ № 490 от 10.10.2019, обновлённый в феврале 2024 года). Ключевые государственные документы: национальный проект «Цифровая экономика», ФЗ-258 «Об экспериментальных правовых режимах в сфере цифровых инноваций» (2020), ГОСТ Р 59276-2020 «Системы искусственного интеллекта. Способы обеспечения доверия» и серия ГОСТ Р 59895-2021.</w:t>
      </w:r>
    </w:p>
    <w:p>
      <w:pPr>
        <w:spacing w:after="120" w:line="360"/>
        <w:ind w:firstLine="720"/>
        <w:jc w:val="both"/>
      </w:pPr>
      <w:r>
        <w:rPr>
          <w:rFonts w:ascii="Times New Roman" w:cs="Times New Roman" w:eastAsia="Times New Roman" w:hAnsi="Times New Roman"/>
          <w:sz w:val="28"/>
          <w:szCs w:val="28"/>
        </w:rPr>
        <w:t xml:space="preserve">Ключевые российские разработки и игроки рынка: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Сбер: GigaChat (LLM), Kandinsky (генерация изображений), GigaCode (помощник программиста), Salute Speech;</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Яндекс: YandexGPT, YandexART, Алиса, Yandex Translate, беспилотники Yandex SDG;</w:t>
      </w:r>
    </w:p>
    <w:p>
      <w:pPr>
        <w:pStyle w:val="ListParagraph"/>
        <w:numPr>
          <w:ilvl w:val="0"/>
          <w:numId w:val="2"/>
        </w:numPr>
        <w:spacing w:after="60" w:line="360"/>
        <w:jc w:val="both"/>
      </w:pPr>
      <w:r>
        <w:rPr>
          <w:rFonts w:ascii="Times New Roman" w:cs="Times New Roman" w:eastAsia="Times New Roman" w:hAnsi="Times New Roman"/>
          <w:sz w:val="28"/>
          <w:szCs w:val="28"/>
        </w:rPr>
        <w:t xml:space="preserve">VK: Маруся, GigaChat в VK Cloud;</w:t>
      </w:r>
    </w:p>
    <w:p>
      <w:pPr>
        <w:pStyle w:val="ListParagraph"/>
        <w:numPr>
          <w:ilvl w:val="0"/>
          <w:numId w:val="2"/>
        </w:numPr>
        <w:spacing w:after="60" w:line="360"/>
        <w:jc w:val="both"/>
      </w:pPr>
      <w:r>
        <w:rPr>
          <w:rFonts w:ascii="Times New Roman" w:cs="Times New Roman" w:eastAsia="Times New Roman" w:hAnsi="Times New Roman"/>
          <w:sz w:val="28"/>
          <w:szCs w:val="28"/>
        </w:rPr>
        <w:t xml:space="preserve">Tinkoff: ИИ-секретарь Олег, голосовой банкинг;</w:t>
      </w:r>
    </w:p>
    <w:p>
      <w:pPr>
        <w:pStyle w:val="ListParagraph"/>
        <w:numPr>
          <w:ilvl w:val="0"/>
          <w:numId w:val="2"/>
        </w:numPr>
        <w:spacing w:after="60" w:line="360"/>
        <w:jc w:val="both"/>
      </w:pPr>
      <w:r>
        <w:rPr>
          <w:rFonts w:ascii="Times New Roman" w:cs="Times New Roman" w:eastAsia="Times New Roman" w:hAnsi="Times New Roman"/>
          <w:sz w:val="28"/>
          <w:szCs w:val="28"/>
        </w:rPr>
        <w:t xml:space="preserve">Cognitive Pilot, КамАЗ — беспилотный транспорт;</w:t>
      </w:r>
    </w:p>
    <w:p>
      <w:pPr>
        <w:pStyle w:val="ListParagraph"/>
        <w:numPr>
          <w:ilvl w:val="0"/>
          <w:numId w:val="2"/>
        </w:numPr>
        <w:spacing w:after="60" w:line="360"/>
        <w:jc w:val="both"/>
      </w:pPr>
      <w:r>
        <w:rPr>
          <w:rFonts w:ascii="Times New Roman" w:cs="Times New Roman" w:eastAsia="Times New Roman" w:hAnsi="Times New Roman"/>
          <w:sz w:val="28"/>
          <w:szCs w:val="28"/>
        </w:rPr>
        <w:t xml:space="preserve">Botkin.AI, Третье Мнение — медицинский ИИ;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Skoltech, ВШЭ, ИТМО — академические исследования;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AIRI (Институт ИИ) — государственный исследовательский центр.</w:t>
      </w:r>
    </w:p>
    <w:p>
      <w:pPr>
        <w:pStyle w:val="Heading2"/>
        <w:spacing w:after="180" w:before="300" w:line="360"/>
      </w:pPr>
      <w:r>
        <w:rPr>
          <w:rFonts w:ascii="Times New Roman" w:cs="Times New Roman" w:eastAsia="Times New Roman" w:hAnsi="Times New Roman"/>
          <w:b/>
          <w:bCs/>
          <w:sz w:val="30"/>
          <w:szCs w:val="30"/>
        </w:rPr>
        <w:t xml:space="preserve">Выводы по вопросу 1</w:t>
      </w:r>
    </w:p>
    <w:p>
      <w:pPr>
        <w:spacing w:after="120" w:line="360"/>
        <w:ind w:firstLine="720"/>
        <w:jc w:val="both"/>
      </w:pPr>
      <w:r>
        <w:rPr>
          <w:rFonts w:ascii="Times New Roman" w:cs="Times New Roman" w:eastAsia="Times New Roman" w:hAnsi="Times New Roman"/>
          <w:sz w:val="28"/>
          <w:szCs w:val="28"/>
        </w:rPr>
        <w:t xml:space="preserve">Искусственный интеллект — это область информатики, изучающая создание систем, способных выполнять задачи, требующие человеческого интеллекта. Современный ИИ опирается на нейросетевой подход (deep learning, трансформеры) и относится к категории узкого ИИ (ANI). Сферы применения охватывают практически все отрасли: NLP, компьютерное зрение, распознавание речи, рекомендательные системы, медицину, финансы, транспорт, промышленность, образование, безопасность, генеративный ИИ. С 2022 года генеративные модели (GPT, Claude, GigaChat, Kandinsky, DALL-E) совершили качественный скачок и стали доступны массовому пользователю. В Российской Федерации развитие ИИ закреплено как государственный приоритет; ключевые игроки — Сбер, Яндекс, VK, Cognitive Pilot, Skoltech, AIRI. Создаваемые российские LLM и системы (GigaChat, YandexGPT, Kandinsky) обеспечивают технологическую независимость в этой стратегически важной области.</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2. Социальные проблемы информатизации общества</w:t>
      </w:r>
    </w:p>
    <w:p>
      <w:pPr>
        <w:pStyle w:val="Heading2"/>
        <w:spacing w:after="180" w:before="300" w:line="360"/>
      </w:pPr>
      <w:r>
        <w:rPr>
          <w:rFonts w:ascii="Times New Roman" w:cs="Times New Roman" w:eastAsia="Times New Roman" w:hAnsi="Times New Roman"/>
          <w:b/>
          <w:bCs/>
          <w:sz w:val="30"/>
          <w:szCs w:val="30"/>
        </w:rPr>
        <w:t xml:space="preserve">2.1. Постановка проблемы</w:t>
      </w:r>
    </w:p>
    <w:p>
      <w:pPr>
        <w:spacing w:after="120" w:line="360"/>
        <w:ind w:firstLine="720"/>
        <w:jc w:val="both"/>
      </w:pPr>
      <w:r>
        <w:rPr>
          <w:rFonts w:ascii="Times New Roman" w:cs="Times New Roman" w:eastAsia="Times New Roman" w:hAnsi="Times New Roman"/>
          <w:sz w:val="28"/>
          <w:szCs w:val="28"/>
        </w:rPr>
        <w:t xml:space="preserve">Информатизация общества — массовое проникновение информационных технологий во все сферы жизни — несёт обществу не только очевидные преимущества (доступ к информации, удобство сервисов, экономический рост), но и порождает обширный комплекс социальных проблем, требующих осмысления и регулирования. В отличие от технических, технологических и правовых проблем (рассмотренных в билетах 4 и 6), социальные проблемы информатизации связаны с изменением общественных отношений, поведения индивидов, культурных норм и социальных институтов под влиянием цифровизации.</w:t>
      </w:r>
    </w:p>
    <w:p>
      <w:pPr>
        <w:spacing w:after="120" w:line="360"/>
        <w:ind w:firstLine="720"/>
        <w:jc w:val="both"/>
      </w:pPr>
      <w:r>
        <w:rPr>
          <w:rFonts w:ascii="Times New Roman" w:cs="Times New Roman" w:eastAsia="Times New Roman" w:hAnsi="Times New Roman"/>
          <w:sz w:val="28"/>
          <w:szCs w:val="28"/>
        </w:rPr>
        <w:t xml:space="preserve">Концепция информационного общества разработана в трудах социологов Дэниела Белла («Грядущее постиндустриальное общество», 1973), Олвина Тоффлера («Третья волна», 1980), Мануэля Кастельса (трилогия «Информационная эпоха», 1996–1998). В России основополагающие работы — А. И. Ракитова и Р. Ф. Абдеева. Эти исследователи ещё до массового распространения интернета предсказали многие из социальных проблем, с которыми мы сталкиваемся сегодня.</w:t>
      </w:r>
    </w:p>
    <w:p>
      <w:pPr>
        <w:pStyle w:val="Heading2"/>
        <w:spacing w:after="180" w:before="300" w:line="360"/>
      </w:pPr>
      <w:r>
        <w:rPr>
          <w:rFonts w:ascii="Times New Roman" w:cs="Times New Roman" w:eastAsia="Times New Roman" w:hAnsi="Times New Roman"/>
          <w:b/>
          <w:bCs/>
          <w:sz w:val="30"/>
          <w:szCs w:val="30"/>
        </w:rPr>
        <w:t xml:space="preserve">2.2. Систематизация социальных проблем</w:t>
      </w:r>
    </w:p>
    <w:p>
      <w:pPr>
        <w:spacing w:after="120" w:line="360"/>
        <w:ind w:firstLine="720"/>
        <w:jc w:val="both"/>
      </w:pPr>
      <w:r>
        <w:rPr>
          <w:rFonts w:ascii="Times New Roman" w:cs="Times New Roman" w:eastAsia="Times New Roman" w:hAnsi="Times New Roman"/>
          <w:sz w:val="28"/>
          <w:szCs w:val="28"/>
        </w:rPr>
        <w:t xml:space="preserve">Социальные проблемы информатизации можно объединить в двенадцать основных групп, представленных в обзорной таблице:</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00"/>
        <w:gridCol w:w="6260"/>
      </w:tblGrid>
      <w:tr>
        <w:trPr>
          <w:tblHeader/>
        </w:trPr>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Группа проблем</w:t>
            </w:r>
          </w:p>
        </w:tc>
        <w:tc>
          <w:tcPr>
            <w:tcW w:type="dxa" w:w="0"/>
            <w:tcBorders>
              <w:top w:val="single" w:color="888888" w:sz="4"/>
              <w:left w:val="single" w:color="888888" w:sz="4"/>
              <w:bottom w:val="single" w:color="888888" w:sz="4"/>
              <w:right w:val="single" w:color="888888" w:sz="4"/>
            </w:tcBorders>
            <w:shd w:fill="D9E2F3" w:val="clear"/>
            <w:tcMar>
              <w:top w:type="dxa" w:w="80"/>
              <w:left w:type="dxa" w:w="120"/>
              <w:bottom w:type="dxa" w:w="80"/>
              <w:right w:type="dxa" w:w="120"/>
            </w:tcMar>
          </w:tcPr>
          <w:p>
            <w:pPr>
              <w:jc w:val="center"/>
            </w:pPr>
            <w:r>
              <w:rPr>
                <w:rFonts w:ascii="Times New Roman" w:cs="Times New Roman" w:eastAsia="Times New Roman" w:hAnsi="Times New Roman"/>
                <w:b/>
                <w:bCs/>
                <w:sz w:val="26"/>
                <w:szCs w:val="26"/>
              </w:rPr>
              <w:t xml:space="preserve">Конкретные проявления</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Цифровое неравенство</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Разрыв в доступе, навыках, результатах; пожилые, сельские жители, ОВЗ</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Технозависимость</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Зависимость от смартфонов, соцсетей, видеоигр (gaming disorder в МКБ-11)</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Изменение рынка труда</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Автоматизация рабочих мест, рост требований к квалификации, цифровая безработица</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Приватность и наблюдение</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Утрата контроля над персональными данными, биометрическое наблюдение</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Манипуляция сознанием</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Эхо-камеры, фильтр-пузыри, целевая реклама, deepfake, фейк-ньюс</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Атомизация общества</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Замена живого общения цифровым; одиночество в социальных сетях</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Психологические эффекты</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Цифровой стресс, FOMO, депрессия от соцсетей, сравнение себя с другими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Поляризация</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Усиление противоречий в обществе через алгоритмы соцсетей</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Изменения в культуре</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Клиповое мышление, «цифровое слабоумие», утрата традиций</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Социальное неравенство в ИИ</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Алгоритмическая дискриминация (раса, пол, возраст); алгоритмическая бедность</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Образование и развитие детей</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Зависимость от гаджетов, экранное время, академическое мошенничество с ИИ</w:t>
            </w:r>
          </w:p>
        </w:tc>
      </w:tr>
      <w:tr>
        <w:trPr>
          <w:tblHeader w:val="false"/>
        </w:trPr>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Угрозы безопасности</w:t>
            </w:r>
          </w:p>
        </w:tc>
        <w:tc>
          <w:tcPr>
            <w:tcW w:type="dxa" w:w="0"/>
            <w:tcBorders>
              <w:top w:val="single" w:color="888888" w:sz="4"/>
              <w:left w:val="single" w:color="888888" w:sz="4"/>
              <w:bottom w:val="single" w:color="888888" w:sz="4"/>
              <w:right w:val="single" w:color="888888" w:sz="4"/>
            </w:tcBorders>
            <w:tcMar>
              <w:top w:type="dxa" w:w="80"/>
              <w:left w:type="dxa" w:w="120"/>
              <w:bottom w:type="dxa" w:w="80"/>
              <w:right w:type="dxa" w:w="120"/>
            </w:tcMar>
          </w:tcPr>
          <w:p>
            <w:pPr>
              <w:jc w:val="left"/>
            </w:pPr>
            <w:r>
              <w:rPr>
                <w:rFonts w:ascii="Times New Roman" w:cs="Times New Roman" w:eastAsia="Times New Roman" w:hAnsi="Times New Roman"/>
                <w:b w:val="false"/>
                <w:bCs w:val="false"/>
                <w:sz w:val="24"/>
                <w:szCs w:val="24"/>
              </w:rPr>
              <w:t xml:space="preserve">Кибербуллинг, груминг, мошенничество, фишинг, шантаж</w:t>
            </w:r>
          </w:p>
        </w:tc>
      </w:tr>
    </w:tbl>
    <w:p>
      <w:pPr>
        <w:spacing w:after="120"/>
      </w:pPr>
      <w:r>
        <w:rPr>
          <w:rFonts w:ascii="Times New Roman" w:cs="Times New Roman" w:eastAsia="Times New Roman" w:hAnsi="Times New Roman"/>
          <w:sz w:val="28"/>
          <w:szCs w:val="28"/>
        </w:rPr>
        <w:t xml:space="preserve"/>
      </w:r>
    </w:p>
    <w:p>
      <w:pPr>
        <w:pStyle w:val="Heading2"/>
        <w:spacing w:after="180" w:before="300" w:line="360"/>
      </w:pPr>
      <w:r>
        <w:rPr>
          <w:rFonts w:ascii="Times New Roman" w:cs="Times New Roman" w:eastAsia="Times New Roman" w:hAnsi="Times New Roman"/>
          <w:b/>
          <w:bCs/>
          <w:sz w:val="30"/>
          <w:szCs w:val="30"/>
        </w:rPr>
        <w:t xml:space="preserve">2.3. Цифровое неравенство</w:t>
      </w:r>
    </w:p>
    <w:p>
      <w:pPr>
        <w:spacing w:after="120" w:line="360"/>
        <w:ind w:firstLine="720"/>
        <w:jc w:val="both"/>
      </w:pPr>
      <w:r>
        <w:rPr>
          <w:rFonts w:ascii="Times New Roman" w:cs="Times New Roman" w:eastAsia="Times New Roman" w:hAnsi="Times New Roman"/>
          <w:sz w:val="28"/>
          <w:szCs w:val="28"/>
        </w:rPr>
        <w:t xml:space="preserve">Цифровое неравенство (digital divide) — одна из старейших и наиболее изученных социальных проблем информатизации. Термин введён в начале 1990-х годов в США. Различают три уровня цифрового неравенства: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Первый уровень — неравенство в доступе. </w:t>
      </w:r>
      <w:r>
        <w:rPr>
          <w:rFonts w:ascii="Times New Roman" w:cs="Times New Roman" w:eastAsia="Times New Roman" w:hAnsi="Times New Roman"/>
          <w:sz w:val="28"/>
          <w:szCs w:val="28"/>
        </w:rPr>
        <w:t xml:space="preserve">У одних есть высокоскоростной интернет и современные устройства, у других — нет. По данным Росстата за 2023 год, проникновение широкополосного интернета в РФ — 84 % в городах и 67 % в сельской местности. Среди стран мира разрыв ещё больше: в развитых странах проникновение свыше 95 %, в наименее развитых — менее 30 %;</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Второй уровень — неравенство в навыках. </w:t>
      </w:r>
      <w:r>
        <w:rPr>
          <w:rFonts w:ascii="Times New Roman" w:cs="Times New Roman" w:eastAsia="Times New Roman" w:hAnsi="Times New Roman"/>
          <w:sz w:val="28"/>
          <w:szCs w:val="28"/>
        </w:rPr>
        <w:t xml:space="preserve">Даже при наличии доступа люди разного возраста и образования по-разному эффективно используют технологии. Пожилые часто не могут самостоятельно зарегистрироваться на Госуслугах или оплатить ЖКХ через приложение;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Третий уровень — неравенство в результатах. </w:t>
      </w:r>
      <w:r>
        <w:rPr>
          <w:rFonts w:ascii="Times New Roman" w:cs="Times New Roman" w:eastAsia="Times New Roman" w:hAnsi="Times New Roman"/>
          <w:sz w:val="28"/>
          <w:szCs w:val="28"/>
        </w:rPr>
        <w:t xml:space="preserve">Разные пользователи извлекают разную пользу от одинакового доступа: одни используют интернет для образования и заработка, другие — только для развлечений и потребления.</w:t>
      </w:r>
    </w:p>
    <w:p>
      <w:pPr>
        <w:spacing w:after="120" w:line="360"/>
        <w:ind w:firstLine="720"/>
        <w:jc w:val="both"/>
      </w:pPr>
      <w:r>
        <w:rPr>
          <w:rFonts w:ascii="Times New Roman" w:cs="Times New Roman" w:eastAsia="Times New Roman" w:hAnsi="Times New Roman"/>
          <w:sz w:val="28"/>
          <w:szCs w:val="28"/>
        </w:rPr>
        <w:t xml:space="preserve">В РФ цифровое неравенство преодолевается государственными программами: «Цифровая экономика», программа подключения сельских школ к интернету, портал Госуслуг с упрощённой авторизацией, программы цифровой грамотности для пожилых (Лет-это-неважно, Бабушка-онлайн), Минцифры обучает 1,5 млн человек в год. К 2030 году планируется покрыть высокоскоростным интернетом 97 % населённых пунктов.</w:t>
      </w:r>
    </w:p>
    <w:p>
      <w:pPr>
        <w:pStyle w:val="Heading2"/>
        <w:spacing w:after="180" w:before="300" w:line="360"/>
      </w:pPr>
      <w:r>
        <w:rPr>
          <w:rFonts w:ascii="Times New Roman" w:cs="Times New Roman" w:eastAsia="Times New Roman" w:hAnsi="Times New Roman"/>
          <w:b/>
          <w:bCs/>
          <w:sz w:val="30"/>
          <w:szCs w:val="30"/>
        </w:rPr>
        <w:t xml:space="preserve">2.4. Технозависимость и психологические эффекты</w:t>
      </w:r>
    </w:p>
    <w:p>
      <w:pPr>
        <w:spacing w:after="120" w:line="360"/>
        <w:ind w:firstLine="720"/>
        <w:jc w:val="both"/>
      </w:pPr>
      <w:r>
        <w:rPr>
          <w:rFonts w:ascii="Times New Roman" w:cs="Times New Roman" w:eastAsia="Times New Roman" w:hAnsi="Times New Roman"/>
          <w:sz w:val="28"/>
          <w:szCs w:val="28"/>
        </w:rPr>
        <w:t xml:space="preserve">Массовое распространение смартфонов и социальных сетей породило феномен технозависимости. Среднестатистический пользователь смартфона разблокирует устройство 80–150 раз в день и проводит за экраном 4–6 часов. ВОЗ в МКБ-11 (2018, действует с 2022 года) официально включила игровое расстройство (gaming disorder) как заболевание. Аналогичную позицию занимает Американская психиатрическая ассоциация (DSM-5).</w:t>
      </w:r>
    </w:p>
    <w:p>
      <w:pPr>
        <w:spacing w:after="120" w:line="360"/>
        <w:ind w:firstLine="720"/>
        <w:jc w:val="both"/>
      </w:pPr>
      <w:r>
        <w:rPr>
          <w:rFonts w:ascii="Times New Roman" w:cs="Times New Roman" w:eastAsia="Times New Roman" w:hAnsi="Times New Roman"/>
          <w:sz w:val="28"/>
          <w:szCs w:val="28"/>
        </w:rPr>
        <w:t xml:space="preserve">Связанные психологические эффекты: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FOMO </w:t>
      </w:r>
      <w:r>
        <w:rPr>
          <w:rFonts w:ascii="Times New Roman" w:cs="Times New Roman" w:eastAsia="Times New Roman" w:hAnsi="Times New Roman"/>
          <w:sz w:val="28"/>
          <w:szCs w:val="28"/>
        </w:rPr>
        <w:t xml:space="preserve">(Fear Of Missing Out) — страх упустить важное; компульсивная проверка соцсетей;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Цифровой стресс </w:t>
      </w:r>
      <w:r>
        <w:rPr>
          <w:rFonts w:ascii="Times New Roman" w:cs="Times New Roman" w:eastAsia="Times New Roman" w:hAnsi="Times New Roman"/>
          <w:sz w:val="28"/>
          <w:szCs w:val="28"/>
        </w:rPr>
        <w:t xml:space="preserve">(techno-stress) — от необходимости постоянной онлайн-доступности;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Депрессия от соцсетей </w:t>
      </w:r>
      <w:r>
        <w:rPr>
          <w:rFonts w:ascii="Times New Roman" w:cs="Times New Roman" w:eastAsia="Times New Roman" w:hAnsi="Times New Roman"/>
          <w:sz w:val="28"/>
          <w:szCs w:val="28"/>
        </w:rPr>
        <w:t xml:space="preserve">— исследования Йельского и Гарвардского университетов связывают рост подростковой депрессии (особенно у девушек) с распространением Instagram и TikTok в 2010-х;</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Цифровая тревожность </w:t>
      </w:r>
      <w:r>
        <w:rPr>
          <w:rFonts w:ascii="Times New Roman" w:cs="Times New Roman" w:eastAsia="Times New Roman" w:hAnsi="Times New Roman"/>
          <w:sz w:val="28"/>
          <w:szCs w:val="28"/>
        </w:rPr>
        <w:t xml:space="preserve">— тревога без телефона (nomophobia);</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«Цифровое слабоумие» </w:t>
      </w:r>
      <w:r>
        <w:rPr>
          <w:rFonts w:ascii="Times New Roman" w:cs="Times New Roman" w:eastAsia="Times New Roman" w:hAnsi="Times New Roman"/>
          <w:sz w:val="28"/>
          <w:szCs w:val="28"/>
        </w:rPr>
        <w:t xml:space="preserve">(термин М. Шпитцера, 2012) — ослабление когнитивных функций при чрезмерном использовании цифровых устройств.</w:t>
      </w:r>
    </w:p>
    <w:p>
      <w:pPr>
        <w:pStyle w:val="Heading2"/>
        <w:spacing w:after="180" w:before="300" w:line="360"/>
      </w:pPr>
      <w:r>
        <w:rPr>
          <w:rFonts w:ascii="Times New Roman" w:cs="Times New Roman" w:eastAsia="Times New Roman" w:hAnsi="Times New Roman"/>
          <w:b/>
          <w:bCs/>
          <w:sz w:val="30"/>
          <w:szCs w:val="30"/>
        </w:rPr>
        <w:t xml:space="preserve">2.5. Изменение рынка труда и автоматизация</w:t>
      </w:r>
    </w:p>
    <w:p>
      <w:pPr>
        <w:spacing w:after="120" w:line="360"/>
        <w:ind w:firstLine="720"/>
        <w:jc w:val="both"/>
      </w:pPr>
      <w:r>
        <w:rPr>
          <w:rFonts w:ascii="Times New Roman" w:cs="Times New Roman" w:eastAsia="Times New Roman" w:hAnsi="Times New Roman"/>
          <w:sz w:val="28"/>
          <w:szCs w:val="28"/>
        </w:rPr>
        <w:t xml:space="preserve">Информатизация фундаментально меняет рынок труда: одни профессии исчезают, другие появляются. Исследование Frey и Osborne (Oxford, 2013) оценило, что 47 % рабочих мест в США находятся в зоне риска автоматизации в ближайшие 20 лет. С появлением генеративного ИИ под угрозу попали и многие интеллектуальные профессии: копирайтеры, дизайнеры, переводчики, начальные позиции в программировании, юристы первого года, бухгалтеры.</w:t>
      </w:r>
    </w:p>
    <w:p>
      <w:pPr>
        <w:spacing w:after="120" w:line="360"/>
        <w:ind w:firstLine="720"/>
        <w:jc w:val="both"/>
      </w:pPr>
      <w:r>
        <w:rPr>
          <w:rFonts w:ascii="Times New Roman" w:cs="Times New Roman" w:eastAsia="Times New Roman" w:hAnsi="Times New Roman"/>
          <w:sz w:val="28"/>
          <w:szCs w:val="28"/>
        </w:rPr>
        <w:t xml:space="preserve">Сопутствующие социальные проблемы: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Технологическая безработица — особенно для работников рутинного труда;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Необходимость постоянного переобучения (lifelong learning);</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Гиг-экономика и платформенный труд — отсутствие соцпакета у курьеров Яндекс Доставки, водителей Uber/Bolt, фрилансеров;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Алгоритмическое управление трудом (мониторинг производительности, рейтинги работников);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Поляризация заработной платы — рост ИТ-зарплат при стагнации остальных.</w:t>
      </w:r>
    </w:p>
    <w:p>
      <w:pPr>
        <w:spacing w:after="120" w:line="360"/>
        <w:ind w:firstLine="720"/>
        <w:jc w:val="both"/>
      </w:pPr>
      <w:r>
        <w:rPr>
          <w:rFonts w:ascii="Times New Roman" w:cs="Times New Roman" w:eastAsia="Times New Roman" w:hAnsi="Times New Roman"/>
          <w:sz w:val="28"/>
          <w:szCs w:val="28"/>
        </w:rPr>
        <w:t xml:space="preserve">Альтернативная позиция (McKinsey, ОЭСР) — ИИ создаст больше рабочих мест, чем уничтожит, но потребует масштабного переобучения. В РФ программы переобучения проходят через Минтруд и платформу «Работа России».</w:t>
      </w:r>
    </w:p>
    <w:p>
      <w:pPr>
        <w:pStyle w:val="Heading2"/>
        <w:spacing w:after="180" w:before="300" w:line="360"/>
      </w:pPr>
      <w:r>
        <w:rPr>
          <w:rFonts w:ascii="Times New Roman" w:cs="Times New Roman" w:eastAsia="Times New Roman" w:hAnsi="Times New Roman"/>
          <w:b/>
          <w:bCs/>
          <w:sz w:val="30"/>
          <w:szCs w:val="30"/>
        </w:rPr>
        <w:t xml:space="preserve">2.6. Манипуляция сознанием и фейк-ньюс</w:t>
      </w:r>
    </w:p>
    <w:p>
      <w:pPr>
        <w:spacing w:after="120" w:line="360"/>
        <w:ind w:firstLine="720"/>
        <w:jc w:val="both"/>
      </w:pPr>
      <w:r>
        <w:rPr>
          <w:rFonts w:ascii="Times New Roman" w:cs="Times New Roman" w:eastAsia="Times New Roman" w:hAnsi="Times New Roman"/>
          <w:sz w:val="28"/>
          <w:szCs w:val="28"/>
        </w:rPr>
        <w:t xml:space="preserve">Социальные сети и алгоритмы персонализации содержания радикально изменили медиапотребление. Возникли явления: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Фильтр-пузыри </w:t>
      </w:r>
      <w:r>
        <w:rPr>
          <w:rFonts w:ascii="Times New Roman" w:cs="Times New Roman" w:eastAsia="Times New Roman" w:hAnsi="Times New Roman"/>
          <w:sz w:val="28"/>
          <w:szCs w:val="28"/>
        </w:rPr>
        <w:t xml:space="preserve">(filter bubble, термин Эли Паризера 2011) — алгоритмы показывают пользователю только тот контент, который соответствует его предпочтениям, закрывая иные точки зрения;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Эхо-камеры </w:t>
      </w:r>
      <w:r>
        <w:rPr>
          <w:rFonts w:ascii="Times New Roman" w:cs="Times New Roman" w:eastAsia="Times New Roman" w:hAnsi="Times New Roman"/>
          <w:sz w:val="28"/>
          <w:szCs w:val="28"/>
        </w:rPr>
        <w:t xml:space="preserve">(echo chamber) — сообщества единомышленников, где взгляды постоянно подкрепляются;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Фейк-ньюс </w:t>
      </w:r>
      <w:r>
        <w:rPr>
          <w:rFonts w:ascii="Times New Roman" w:cs="Times New Roman" w:eastAsia="Times New Roman" w:hAnsi="Times New Roman"/>
          <w:sz w:val="28"/>
          <w:szCs w:val="28"/>
        </w:rPr>
        <w:t xml:space="preserve">— массовое производство и распространение ложной информации в политических, коммерческих и социальных целях; пик внимания — президентские выборы в США 2016 года и Brexit;</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Дипфейки </w:t>
      </w:r>
      <w:r>
        <w:rPr>
          <w:rFonts w:ascii="Times New Roman" w:cs="Times New Roman" w:eastAsia="Times New Roman" w:hAnsi="Times New Roman"/>
          <w:sz w:val="28"/>
          <w:szCs w:val="28"/>
        </w:rPr>
        <w:t xml:space="preserve">— синтетические изображения и видео реальных людей; используются для мошенничества, дискредитации политиков, шантажа;</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Микротаргетинг </w:t>
      </w:r>
      <w:r>
        <w:rPr>
          <w:rFonts w:ascii="Times New Roman" w:cs="Times New Roman" w:eastAsia="Times New Roman" w:hAnsi="Times New Roman"/>
          <w:sz w:val="28"/>
          <w:szCs w:val="28"/>
        </w:rPr>
        <w:t xml:space="preserve">— персонализированная политическая или коммерческая реклама на основе психологического профиля (скандал Cambridge Analytica).</w:t>
      </w:r>
    </w:p>
    <w:p>
      <w:pPr>
        <w:spacing w:after="120" w:line="360"/>
        <w:ind w:firstLine="720"/>
        <w:jc w:val="both"/>
      </w:pPr>
      <w:r>
        <w:rPr>
          <w:rFonts w:ascii="Times New Roman" w:cs="Times New Roman" w:eastAsia="Times New Roman" w:hAnsi="Times New Roman"/>
          <w:sz w:val="28"/>
          <w:szCs w:val="28"/>
        </w:rPr>
        <w:t xml:space="preserve">Эти явления подрывают рациональное принятие решений в демократических обществах. Регулирование: EU Digital Services Act (DSA, 2022), требование прозрачности рекомендательных алгоритмов; в РФ — закон о фейк-ньюс (ФЗ № 31 от 2019), закон об обязательной маркировке рекомендательных алгоритмов (ФЗ № 408 от 2023).</w:t>
      </w:r>
    </w:p>
    <w:p>
      <w:pPr>
        <w:pStyle w:val="Heading2"/>
        <w:spacing w:after="180" w:before="300" w:line="360"/>
      </w:pPr>
      <w:r>
        <w:rPr>
          <w:rFonts w:ascii="Times New Roman" w:cs="Times New Roman" w:eastAsia="Times New Roman" w:hAnsi="Times New Roman"/>
          <w:b/>
          <w:bCs/>
          <w:sz w:val="30"/>
          <w:szCs w:val="30"/>
        </w:rPr>
        <w:t xml:space="preserve">2.7. Атомизация общества и культурные изменения</w:t>
      </w:r>
    </w:p>
    <w:p>
      <w:pPr>
        <w:spacing w:after="120" w:line="360"/>
        <w:ind w:firstLine="720"/>
        <w:jc w:val="both"/>
      </w:pPr>
      <w:r>
        <w:rPr>
          <w:rFonts w:ascii="Times New Roman" w:cs="Times New Roman" w:eastAsia="Times New Roman" w:hAnsi="Times New Roman"/>
          <w:sz w:val="28"/>
          <w:szCs w:val="28"/>
        </w:rPr>
        <w:t xml:space="preserve">Социолог Шерри Тёркл («Alone Together», 2011; «Reclaiming Conversation», 2015) показала парадокс цифровой эпохи: будучи более «связанными», люди становятся более одинокими. Реальное общение заменяется цифровыми контактами, которые психологически менее насыщенны. Снижается способность к долгому концентрированному вниманию (concept of «clip thinking», клиповое мышление, описанное Ф. И. Гиренком), к чтению длинных текстов, к глубоким межличностным отношениям.</w:t>
      </w:r>
    </w:p>
    <w:p>
      <w:pPr>
        <w:spacing w:after="120" w:line="360"/>
        <w:ind w:firstLine="720"/>
        <w:jc w:val="both"/>
      </w:pPr>
      <w:r>
        <w:rPr>
          <w:rFonts w:ascii="Times New Roman" w:cs="Times New Roman" w:eastAsia="Times New Roman" w:hAnsi="Times New Roman"/>
          <w:sz w:val="28"/>
          <w:szCs w:val="28"/>
        </w:rPr>
        <w:t xml:space="preserve">Культурные изменения: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Доминирование коротких форматов (TikTok, Reels, Shorts);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Замена коллективного просмотра ТВ персональным стримингом;</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Утрата традиционных ритуалов (живые встречи, переписка, чтение книг);</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Глобализация культуры — доминирование англоязычного контента;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Параллельно — возрождение локальных идентичностей через интернет-сообщества.</w:t>
      </w:r>
    </w:p>
    <w:p>
      <w:pPr>
        <w:pStyle w:val="Heading2"/>
        <w:spacing w:after="180" w:before="300" w:line="360"/>
      </w:pPr>
      <w:r>
        <w:rPr>
          <w:rFonts w:ascii="Times New Roman" w:cs="Times New Roman" w:eastAsia="Times New Roman" w:hAnsi="Times New Roman"/>
          <w:b/>
          <w:bCs/>
          <w:sz w:val="30"/>
          <w:szCs w:val="30"/>
        </w:rPr>
        <w:t xml:space="preserve">2.8. Социальное неравенство в ИИ</w:t>
      </w:r>
    </w:p>
    <w:p>
      <w:pPr>
        <w:spacing w:after="120" w:line="360"/>
        <w:ind w:firstLine="720"/>
        <w:jc w:val="both"/>
      </w:pPr>
      <w:r>
        <w:rPr>
          <w:rFonts w:ascii="Times New Roman" w:cs="Times New Roman" w:eastAsia="Times New Roman" w:hAnsi="Times New Roman"/>
          <w:sz w:val="28"/>
          <w:szCs w:val="28"/>
        </w:rPr>
        <w:t xml:space="preserve">Распространение ИИ-систем породило проблему алгоритмической дискриминации. Известные случаи: система кредитного скоринга Apple Card (2019) выдавала женщинам в 10–20 раз меньший лимит, чем мужьям с тем же доходом; система Amazon для отбора резюме (2018) обучалась на исторических данных и систематически отклоняла резюме женщин; алгоритм COMPAS в США для оценки рисков рецидива давал чернокожим худшие оценки. Источник проблемы — обучающие данные, отражающие исторические предрассудки общества.</w:t>
      </w:r>
    </w:p>
    <w:p>
      <w:pPr>
        <w:spacing w:after="120" w:line="360"/>
        <w:ind w:firstLine="720"/>
        <w:jc w:val="both"/>
      </w:pPr>
      <w:r>
        <w:rPr>
          <w:rFonts w:ascii="Times New Roman" w:cs="Times New Roman" w:eastAsia="Times New Roman" w:hAnsi="Times New Roman"/>
          <w:sz w:val="28"/>
          <w:szCs w:val="28"/>
        </w:rPr>
        <w:t xml:space="preserve">Возникает новая социальная проблема — «алгоритмическая бедность»: ИИ-системы определяют, кому давать кредит, кого нанимать, кому показывать рекламу вакансий, кому полагается социальное пособие. Решения непрозрачны и плохо обжалуются. Регулирование: EU AI Act (2024) запрещает социальный скоринг и устанавливает строгие требования к высокорисковым ИИ-системам; в РФ готовится отдельный закон об ИИ.</w:t>
      </w:r>
    </w:p>
    <w:p>
      <w:pPr>
        <w:pStyle w:val="Heading2"/>
        <w:spacing w:after="180" w:before="300" w:line="360"/>
      </w:pPr>
      <w:r>
        <w:rPr>
          <w:rFonts w:ascii="Times New Roman" w:cs="Times New Roman" w:eastAsia="Times New Roman" w:hAnsi="Times New Roman"/>
          <w:b/>
          <w:bCs/>
          <w:sz w:val="30"/>
          <w:szCs w:val="30"/>
        </w:rPr>
        <w:t xml:space="preserve">2.9. Влияние на детей и образование</w:t>
      </w:r>
    </w:p>
    <w:p>
      <w:pPr>
        <w:spacing w:after="120" w:line="360"/>
        <w:ind w:firstLine="720"/>
        <w:jc w:val="both"/>
      </w:pPr>
      <w:r>
        <w:rPr>
          <w:rFonts w:ascii="Times New Roman" w:cs="Times New Roman" w:eastAsia="Times New Roman" w:hAnsi="Times New Roman"/>
          <w:sz w:val="28"/>
          <w:szCs w:val="28"/>
        </w:rPr>
        <w:t xml:space="preserve">Дети — самая уязвимая социальная группа в эпоху цифровизации. Проблемы: чрезмерное экранное время, зависимость от гаджетов с раннего возраста, кибербуллинг, груминг (приставание со стороны взрослых через интернет), доступ к неподходящему контенту. ВОЗ рекомендует детям до 5 лет ограничивать экранное время одним часом в день, до 2 лет — избегать вовсе.</w:t>
      </w:r>
    </w:p>
    <w:p>
      <w:pPr>
        <w:spacing w:after="120" w:line="360"/>
        <w:ind w:firstLine="720"/>
        <w:jc w:val="both"/>
      </w:pPr>
      <w:r>
        <w:rPr>
          <w:rFonts w:ascii="Times New Roman" w:cs="Times New Roman" w:eastAsia="Times New Roman" w:hAnsi="Times New Roman"/>
          <w:sz w:val="28"/>
          <w:szCs w:val="28"/>
        </w:rPr>
        <w:t xml:space="preserve">В образовании: появление ИИ-инструментов (ChatGPT, GigaChat) поставило вопрос о добросовестности студентов и школьников. Согласно опросам в США (Stanford 2024), более 50 % студентов используют ИИ для написания заданий. Ответ образовательных систем неоднозначен: одни ВУЗы запрещают использование ИИ, другие включают его в учебные процессы как инструмент. В РФ обсуждается обязательная маркировка ИИ-работ. Параллельно ИИ открывает новые возможности — адаптивное обучение (Khan Academy), персональные репетиторы (Duolingo).</w:t>
      </w:r>
    </w:p>
    <w:p>
      <w:pPr>
        <w:pStyle w:val="Heading2"/>
        <w:spacing w:after="180" w:before="300" w:line="360"/>
      </w:pPr>
      <w:r>
        <w:rPr>
          <w:rFonts w:ascii="Times New Roman" w:cs="Times New Roman" w:eastAsia="Times New Roman" w:hAnsi="Times New Roman"/>
          <w:b/>
          <w:bCs/>
          <w:sz w:val="30"/>
          <w:szCs w:val="30"/>
        </w:rPr>
        <w:t xml:space="preserve">2.10. Угрозы безопасности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Кибербуллинг — систематическая травля в интернете, особенно среди подростков;</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Груминг и сексуальное насилие в отношении детей через соцсети;</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Финансовое мошенничество — фишинг, обзвоны от «службы безопасности банка», мошенничество с использованием дипфейков голоса (имитация голоса родственника);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Шантаж и вымогательство — sextortion, ransomware-атаки на частных лиц;</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Радикализация — рекрутинг в экстремистские группы через интернет.</w:t>
      </w:r>
    </w:p>
    <w:p>
      <w:pPr>
        <w:spacing w:after="120" w:line="360"/>
        <w:ind w:firstLine="720"/>
        <w:jc w:val="both"/>
      </w:pPr>
      <w:r>
        <w:rPr>
          <w:rFonts w:ascii="Times New Roman" w:cs="Times New Roman" w:eastAsia="Times New Roman" w:hAnsi="Times New Roman"/>
          <w:sz w:val="28"/>
          <w:szCs w:val="28"/>
        </w:rPr>
        <w:t xml:space="preserve">В РФ за 2024 год по данным МВД зарегистрировано более 700 000 ИТ-преступлений, более 40 % всех преступлений в стране. Среднестатистический ущерб от одного случая телефонного мошенничества — 100 000 рублей.</w:t>
      </w:r>
    </w:p>
    <w:p>
      <w:pPr>
        <w:pStyle w:val="Heading2"/>
        <w:spacing w:after="180" w:before="300" w:line="360"/>
      </w:pPr>
      <w:r>
        <w:rPr>
          <w:rFonts w:ascii="Times New Roman" w:cs="Times New Roman" w:eastAsia="Times New Roman" w:hAnsi="Times New Roman"/>
          <w:b/>
          <w:bCs/>
          <w:sz w:val="30"/>
          <w:szCs w:val="30"/>
        </w:rPr>
        <w:t xml:space="preserve">2.11. Пути преодоления социальных проблем</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Государственные программы цифровой грамотности (Минцифры, Лет-это-неважно);</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Регулирование платформ (DSA, российские законы о фейках, о маркировке рекомендаций);</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Этический и инклюзивный дизайн ИИ-систем (Fairness, Accountability, Transparency);</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Возрастные ограничения и родительский контроль;</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Цифровая гигиена и осознанное потребление (digital detox, time tracking apps);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Развитие критического мышления и медиаграмотности в школьных программах;</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Программы переобучения для работников, чьи профессии автоматизируются;</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Поддержка традиционных культурных институтов (библиотеки, музеи, театры).</w:t>
      </w:r>
    </w:p>
    <w:p>
      <w:pPr>
        <w:pStyle w:val="Heading2"/>
        <w:spacing w:after="180" w:before="300" w:line="360"/>
      </w:pPr>
      <w:r>
        <w:rPr>
          <w:rFonts w:ascii="Times New Roman" w:cs="Times New Roman" w:eastAsia="Times New Roman" w:hAnsi="Times New Roman"/>
          <w:b/>
          <w:bCs/>
          <w:sz w:val="30"/>
          <w:szCs w:val="30"/>
        </w:rPr>
        <w:t xml:space="preserve">Выводы по вопросу 2</w:t>
      </w:r>
    </w:p>
    <w:p>
      <w:pPr>
        <w:spacing w:after="120" w:line="360"/>
        <w:ind w:firstLine="720"/>
        <w:jc w:val="both"/>
      </w:pPr>
      <w:r>
        <w:rPr>
          <w:rFonts w:ascii="Times New Roman" w:cs="Times New Roman" w:eastAsia="Times New Roman" w:hAnsi="Times New Roman"/>
          <w:sz w:val="28"/>
          <w:szCs w:val="28"/>
        </w:rPr>
        <w:t xml:space="preserve">Социальные проблемы информатизации общества охватывают двенадцать основных направлений и существенно отличаются от технических, технологических и правовых проблем тем, что затрагивают сами основы общественных отношений, поведения индивидов и культурных норм. Ключевые проблемы: цифровое неравенство трёх уровней (доступ — навыки — результаты); технозависимость и психологические эффекты (FOMO, депрессия, цифровое слабоумие); изменение рынка труда под влиянием автоматизации; манипуляция сознанием через фильтр-пузыри, фейк-ньюс и дипфейки; атомизация общества и культурные сдвиги (клиповое мышление); алгоритмическая дискриминация в ИИ-системах; влияние на детей и образование; новые угрозы безопасности (кибербуллинг, мошенничество). Преодоление этих проблем требует комплексных усилий государства, индустрии и общества: государственные программы цифровой грамотности, регулирование платформ, этичный дизайн ИИ, развитие критического мышления, программы переобучения.</w:t>
      </w:r>
    </w:p>
    <w:p>
      <w:r>
        <w:br w:type="page"/>
      </w:r>
    </w:p>
    <w:p>
      <w:pPr>
        <w:pStyle w:val="Heading1"/>
        <w:spacing w:after="240" w:before="360" w:line="360"/>
        <w:jc w:val="center"/>
      </w:pPr>
      <w:r>
        <w:rPr>
          <w:rFonts w:ascii="Times New Roman" w:cs="Times New Roman" w:eastAsia="Times New Roman" w:hAnsi="Times New Roman"/>
          <w:b/>
          <w:bCs/>
          <w:sz w:val="32"/>
          <w:szCs w:val="32"/>
        </w:rPr>
        <w:t xml:space="preserve">Вопрос 3. Анализ датасета medical_exams.csv</w:t>
      </w:r>
    </w:p>
    <w:p>
      <w:pPr>
        <w:pStyle w:val="Heading2"/>
        <w:spacing w:after="180" w:before="300" w:line="360"/>
      </w:pPr>
      <w:r>
        <w:rPr>
          <w:rFonts w:ascii="Times New Roman" w:cs="Times New Roman" w:eastAsia="Times New Roman" w:hAnsi="Times New Roman"/>
          <w:b/>
          <w:bCs/>
          <w:sz w:val="30"/>
          <w:szCs w:val="30"/>
        </w:rPr>
        <w:t xml:space="preserve">3.1. Постановка задачи</w:t>
      </w:r>
    </w:p>
    <w:p>
      <w:pPr>
        <w:spacing w:after="120" w:line="360"/>
        <w:ind w:firstLine="720"/>
        <w:jc w:val="both"/>
      </w:pPr>
      <w:r>
        <w:rPr>
          <w:rFonts w:ascii="Times New Roman" w:cs="Times New Roman" w:eastAsia="Times New Roman" w:hAnsi="Times New Roman"/>
          <w:sz w:val="28"/>
          <w:szCs w:val="28"/>
        </w:rPr>
        <w:t xml:space="preserve">Требуется выполнить две задачи на основе датасета medical_exams.csv: (1) подсчитать количество медицинских обследований для мужчин и женщин отдельно; (2) построить столбчатую диаграмму (barplot), показывающую средний уровень холестерина (cholesterol) для каждого диагноза (diagnosis), с подписями осей и заголовком.</w:t>
      </w:r>
    </w:p>
    <w:p>
      <w:pPr>
        <w:pStyle w:val="Heading2"/>
        <w:spacing w:after="180" w:before="300" w:line="360"/>
      </w:pPr>
      <w:r>
        <w:rPr>
          <w:rFonts w:ascii="Times New Roman" w:cs="Times New Roman" w:eastAsia="Times New Roman" w:hAnsi="Times New Roman"/>
          <w:b/>
          <w:bCs/>
          <w:sz w:val="30"/>
          <w:szCs w:val="30"/>
        </w:rPr>
        <w:t xml:space="preserve">3.2. Что и как делаем</w:t>
      </w:r>
    </w:p>
    <w:p>
      <w:pPr>
        <w:spacing w:after="120" w:line="360"/>
        <w:ind w:firstLine="720"/>
        <w:jc w:val="both"/>
      </w:pPr>
      <w:r>
        <w:rPr>
          <w:rFonts w:ascii="Times New Roman" w:cs="Times New Roman" w:eastAsia="Times New Roman" w:hAnsi="Times New Roman"/>
          <w:sz w:val="28"/>
          <w:szCs w:val="28"/>
        </w:rPr>
        <w:t xml:space="preserve">Алгоритм решения состоит из пяти логических шагов:</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Шаг 1. Загрузка </w:t>
      </w:r>
      <w:r>
        <w:rPr>
          <w:rFonts w:ascii="Times New Roman" w:cs="Times New Roman" w:eastAsia="Times New Roman" w:hAnsi="Times New Roman"/>
          <w:sz w:val="28"/>
          <w:szCs w:val="28"/>
        </w:rPr>
        <w:t xml:space="preserve">датасета medical_exams.csv в объект DataFrame библиотеки pandas;</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Шаг 2. Очистка </w:t>
      </w:r>
      <w:r>
        <w:rPr>
          <w:rFonts w:ascii="Times New Roman" w:cs="Times New Roman" w:eastAsia="Times New Roman" w:hAnsi="Times New Roman"/>
          <w:sz w:val="28"/>
          <w:szCs w:val="28"/>
        </w:rPr>
        <w:t xml:space="preserve">данных — удаление строк с пропусками в ключевых колонках (gender, cholesterol, diagnosis);</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Шаг 3. Подсчёт </w:t>
      </w:r>
      <w:r>
        <w:rPr>
          <w:rFonts w:ascii="Times New Roman" w:cs="Times New Roman" w:eastAsia="Times New Roman" w:hAnsi="Times New Roman"/>
          <w:sz w:val="28"/>
          <w:szCs w:val="28"/>
        </w:rPr>
        <w:t xml:space="preserve">количества обследований по полу через метод value_counts();</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Шаг 4. Группировка </w:t>
      </w:r>
      <w:r>
        <w:rPr>
          <w:rFonts w:ascii="Times New Roman" w:cs="Times New Roman" w:eastAsia="Times New Roman" w:hAnsi="Times New Roman"/>
          <w:sz w:val="28"/>
          <w:szCs w:val="28"/>
        </w:rPr>
        <w:t xml:space="preserve">данных по столбцу diagnosis с вычислением среднего значения cholesterol в каждой группе;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Шаг 5. Построение </w:t>
      </w:r>
      <w:r>
        <w:rPr>
          <w:rFonts w:ascii="Times New Roman" w:cs="Times New Roman" w:eastAsia="Times New Roman" w:hAnsi="Times New Roman"/>
          <w:sz w:val="28"/>
          <w:szCs w:val="28"/>
        </w:rPr>
        <w:t xml:space="preserve">столбчатой диаграммы средствами matplotlib с цветовой кодировкой, подписями осей, заголовком, отображением числовых значений над столбцами и сеткой.</w:t>
      </w:r>
    </w:p>
    <w:p>
      <w:pPr>
        <w:pStyle w:val="Heading2"/>
        <w:spacing w:after="180" w:before="300" w:line="360"/>
      </w:pPr>
      <w:r>
        <w:rPr>
          <w:rFonts w:ascii="Times New Roman" w:cs="Times New Roman" w:eastAsia="Times New Roman" w:hAnsi="Times New Roman"/>
          <w:b/>
          <w:bCs/>
          <w:sz w:val="30"/>
          <w:szCs w:val="30"/>
        </w:rPr>
        <w:t xml:space="preserve">3.3. Что необходимо установить</w:t>
      </w:r>
    </w:p>
    <w:p>
      <w:pPr>
        <w:spacing w:after="120" w:line="360"/>
        <w:ind w:firstLine="720"/>
        <w:jc w:val="both"/>
      </w:pPr>
      <w:r>
        <w:rPr>
          <w:rFonts w:ascii="Times New Roman" w:cs="Times New Roman" w:eastAsia="Times New Roman" w:hAnsi="Times New Roman"/>
          <w:sz w:val="28"/>
          <w:szCs w:val="28"/>
        </w:rPr>
        <w:t xml:space="preserve">Требуется Python 3.10+ и две внешние библиотеки. Установка одной командой:</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pip install pandas matplotlib</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Назначение библиотек:</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pandas </w:t>
      </w:r>
      <w:r>
        <w:rPr>
          <w:rFonts w:ascii="Times New Roman" w:cs="Times New Roman" w:eastAsia="Times New Roman" w:hAnsi="Times New Roman"/>
          <w:sz w:val="28"/>
          <w:szCs w:val="28"/>
        </w:rPr>
        <w:t xml:space="preserve">— фундаментальная библиотека для работы с табличными данными в Python; предоставляет структуры DataFrame и Series, методы группировки, фильтрации и агрегации;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matplotlib </w:t>
      </w:r>
      <w:r>
        <w:rPr>
          <w:rFonts w:ascii="Times New Roman" w:cs="Times New Roman" w:eastAsia="Times New Roman" w:hAnsi="Times New Roman"/>
          <w:sz w:val="28"/>
          <w:szCs w:val="28"/>
        </w:rPr>
        <w:t xml:space="preserve">— стандарт визуализации в Python; модуль matplotlib.pyplot предоставляет MATLAB-подобный API для построения графиков.</w:t>
      </w:r>
    </w:p>
    <w:p>
      <w:pPr>
        <w:spacing w:after="120" w:line="360"/>
        <w:ind w:firstLine="720"/>
        <w:jc w:val="both"/>
      </w:pPr>
      <w:r>
        <w:rPr>
          <w:rFonts w:ascii="Times New Roman" w:cs="Times New Roman" w:eastAsia="Times New Roman" w:hAnsi="Times New Roman"/>
          <w:sz w:val="28"/>
          <w:szCs w:val="28"/>
        </w:rPr>
        <w:t xml:space="preserve">Альтернатива matplotlib — библиотека seaborn, обеспечивающая более красивый вид по умолчанию (`pip install seaborn`), но в данной задаче достаточно базового matplotlib.</w:t>
      </w:r>
    </w:p>
    <w:p>
      <w:pPr>
        <w:pStyle w:val="Heading2"/>
        <w:spacing w:after="180" w:before="300" w:line="360"/>
      </w:pPr>
      <w:r>
        <w:rPr>
          <w:rFonts w:ascii="Times New Roman" w:cs="Times New Roman" w:eastAsia="Times New Roman" w:hAnsi="Times New Roman"/>
          <w:b/>
          <w:bCs/>
          <w:sz w:val="30"/>
          <w:szCs w:val="30"/>
        </w:rPr>
        <w:t xml:space="preserve">3.4. Описание структуры программы</w:t>
      </w:r>
    </w:p>
    <w:p>
      <w:pPr>
        <w:pStyle w:val="Heading3"/>
        <w:spacing w:after="120" w:before="240" w:line="360"/>
      </w:pPr>
      <w:r>
        <w:rPr>
          <w:rFonts w:ascii="Times New Roman" w:cs="Times New Roman" w:eastAsia="Times New Roman" w:hAnsi="Times New Roman"/>
          <w:b/>
          <w:bCs/>
          <w:i/>
          <w:iCs/>
          <w:sz w:val="28"/>
          <w:szCs w:val="28"/>
        </w:rPr>
        <w:t xml:space="preserve">Структура датасета medical_exams.csv</w:t>
      </w:r>
    </w:p>
    <w:p>
      <w:pPr>
        <w:spacing w:after="120" w:line="360"/>
        <w:ind w:firstLine="720"/>
        <w:jc w:val="both"/>
      </w:pPr>
      <w:r>
        <w:rPr>
          <w:rFonts w:ascii="Times New Roman" w:cs="Times New Roman" w:eastAsia="Times New Roman" w:hAnsi="Times New Roman"/>
          <w:sz w:val="28"/>
          <w:szCs w:val="28"/>
        </w:rPr>
        <w:t xml:space="preserve">Датасет содержит 2000 записей о медицинских обследованиях со следующими колонками: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id </w:t>
      </w:r>
      <w:r>
        <w:rPr>
          <w:rFonts w:ascii="Times New Roman" w:cs="Times New Roman" w:eastAsia="Times New Roman" w:hAnsi="Times New Roman"/>
          <w:sz w:val="28"/>
          <w:szCs w:val="28"/>
        </w:rPr>
        <w:t xml:space="preserve">— идентификатор обследования (целое число);</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gender </w:t>
      </w:r>
      <w:r>
        <w:rPr>
          <w:rFonts w:ascii="Times New Roman" w:cs="Times New Roman" w:eastAsia="Times New Roman" w:hAnsi="Times New Roman"/>
          <w:sz w:val="28"/>
          <w:szCs w:val="28"/>
        </w:rPr>
        <w:t xml:space="preserve">— пол пациента (M — мужской, F — женский);</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age </w:t>
      </w:r>
      <w:r>
        <w:rPr>
          <w:rFonts w:ascii="Times New Roman" w:cs="Times New Roman" w:eastAsia="Times New Roman" w:hAnsi="Times New Roman"/>
          <w:sz w:val="28"/>
          <w:szCs w:val="28"/>
        </w:rPr>
        <w:t xml:space="preserve">— возраст пациента, лет;</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height, weight </w:t>
      </w:r>
      <w:r>
        <w:rPr>
          <w:rFonts w:ascii="Times New Roman" w:cs="Times New Roman" w:eastAsia="Times New Roman" w:hAnsi="Times New Roman"/>
          <w:sz w:val="28"/>
          <w:szCs w:val="28"/>
        </w:rPr>
        <w:t xml:space="preserve">— рост (см) и вес (кг);</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systolic_bp, diastolic_bp </w:t>
      </w:r>
      <w:r>
        <w:rPr>
          <w:rFonts w:ascii="Times New Roman" w:cs="Times New Roman" w:eastAsia="Times New Roman" w:hAnsi="Times New Roman"/>
          <w:sz w:val="28"/>
          <w:szCs w:val="28"/>
        </w:rPr>
        <w:t xml:space="preserve">— систолическое и диастолическое артериальное давление, мм рт. ст.;</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cholesterol </w:t>
      </w:r>
      <w:r>
        <w:rPr>
          <w:rFonts w:ascii="Times New Roman" w:cs="Times New Roman" w:eastAsia="Times New Roman" w:hAnsi="Times New Roman"/>
          <w:sz w:val="28"/>
          <w:szCs w:val="28"/>
        </w:rPr>
        <w:t xml:space="preserve">— уровень общего холестерина, ммоль/л;</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glucose </w:t>
      </w:r>
      <w:r>
        <w:rPr>
          <w:rFonts w:ascii="Times New Roman" w:cs="Times New Roman" w:eastAsia="Times New Roman" w:hAnsi="Times New Roman"/>
          <w:sz w:val="28"/>
          <w:szCs w:val="28"/>
        </w:rPr>
        <w:t xml:space="preserve">— уровень глюкозы натощак, ммоль/л;</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diagnosis </w:t>
      </w:r>
      <w:r>
        <w:rPr>
          <w:rFonts w:ascii="Times New Roman" w:cs="Times New Roman" w:eastAsia="Times New Roman" w:hAnsi="Times New Roman"/>
          <w:sz w:val="28"/>
          <w:szCs w:val="28"/>
        </w:rPr>
        <w:t xml:space="preserve">— диагноз: Здоров, Гипертония, Диабет, Атеросклероз, Аритмия, ИБС.</w:t>
      </w:r>
    </w:p>
    <w:p>
      <w:pPr>
        <w:pStyle w:val="Heading3"/>
        <w:spacing w:after="120" w:before="240" w:line="360"/>
      </w:pPr>
      <w:r>
        <w:rPr>
          <w:rFonts w:ascii="Times New Roman" w:cs="Times New Roman" w:eastAsia="Times New Roman" w:hAnsi="Times New Roman"/>
          <w:b/>
          <w:bCs/>
          <w:i/>
          <w:iCs/>
          <w:sz w:val="28"/>
          <w:szCs w:val="28"/>
        </w:rPr>
        <w:t xml:space="preserve">Используемые переменные</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df </w:t>
      </w:r>
      <w:r>
        <w:rPr>
          <w:rFonts w:ascii="Times New Roman" w:cs="Times New Roman" w:eastAsia="Times New Roman" w:hAnsi="Times New Roman"/>
          <w:sz w:val="28"/>
          <w:szCs w:val="28"/>
        </w:rPr>
        <w:t xml:space="preserve">(pandas.DataFrame) — таблица с данными;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gender_counts </w:t>
      </w:r>
      <w:r>
        <w:rPr>
          <w:rFonts w:ascii="Times New Roman" w:cs="Times New Roman" w:eastAsia="Times New Roman" w:hAnsi="Times New Roman"/>
          <w:sz w:val="28"/>
          <w:szCs w:val="28"/>
        </w:rPr>
        <w:t xml:space="preserve">(pandas.Series) — счётчик количества обследований по полу;</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mean_chol </w:t>
      </w:r>
      <w:r>
        <w:rPr>
          <w:rFonts w:ascii="Times New Roman" w:cs="Times New Roman" w:eastAsia="Times New Roman" w:hAnsi="Times New Roman"/>
          <w:sz w:val="28"/>
          <w:szCs w:val="28"/>
        </w:rPr>
        <w:t xml:space="preserve">(pandas.Series) — индекс — диагноз, значения — средний холестерин;</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colors </w:t>
      </w:r>
      <w:r>
        <w:rPr>
          <w:rFonts w:ascii="Times New Roman" w:cs="Times New Roman" w:eastAsia="Times New Roman" w:hAnsi="Times New Roman"/>
          <w:sz w:val="28"/>
          <w:szCs w:val="28"/>
        </w:rPr>
        <w:t xml:space="preserve">(list of str) — список цветов для столбцов диаграммы;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bars </w:t>
      </w:r>
      <w:r>
        <w:rPr>
          <w:rFonts w:ascii="Times New Roman" w:cs="Times New Roman" w:eastAsia="Times New Roman" w:hAnsi="Times New Roman"/>
          <w:sz w:val="28"/>
          <w:szCs w:val="28"/>
        </w:rPr>
        <w:t xml:space="preserve">— объект BarContainer, возвращаемый plt.bar().</w:t>
      </w:r>
    </w:p>
    <w:p>
      <w:pPr>
        <w:pStyle w:val="Heading3"/>
        <w:spacing w:after="120" w:before="240" w:line="360"/>
      </w:pPr>
      <w:r>
        <w:rPr>
          <w:rFonts w:ascii="Times New Roman" w:cs="Times New Roman" w:eastAsia="Times New Roman" w:hAnsi="Times New Roman"/>
          <w:b/>
          <w:bCs/>
          <w:i/>
          <w:iCs/>
          <w:sz w:val="28"/>
          <w:szCs w:val="28"/>
        </w:rPr>
        <w:t xml:space="preserve">Используемые функции и методы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pd.read_csv(path) </w:t>
      </w:r>
      <w:r>
        <w:rPr>
          <w:rFonts w:ascii="Times New Roman" w:cs="Times New Roman" w:eastAsia="Times New Roman" w:hAnsi="Times New Roman"/>
          <w:sz w:val="28"/>
          <w:szCs w:val="28"/>
        </w:rPr>
        <w:t xml:space="preserve">— чтение CSV-файла в DataFrame;</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df.dropna(subset=[...]) </w:t>
      </w:r>
      <w:r>
        <w:rPr>
          <w:rFonts w:ascii="Times New Roman" w:cs="Times New Roman" w:eastAsia="Times New Roman" w:hAnsi="Times New Roman"/>
          <w:sz w:val="28"/>
          <w:szCs w:val="28"/>
        </w:rPr>
        <w:t xml:space="preserve">— удаление строк с пропусками в указанных колонках;</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df['column'].value_counts() </w:t>
      </w:r>
      <w:r>
        <w:rPr>
          <w:rFonts w:ascii="Times New Roman" w:cs="Times New Roman" w:eastAsia="Times New Roman" w:hAnsi="Times New Roman"/>
          <w:sz w:val="28"/>
          <w:szCs w:val="28"/>
        </w:rPr>
        <w:t xml:space="preserve">— подсчёт количества каждого уникального значения;</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df.groupby('diagnosis')['cholesterol'].mean() </w:t>
      </w:r>
      <w:r>
        <w:rPr>
          <w:rFonts w:ascii="Times New Roman" w:cs="Times New Roman" w:eastAsia="Times New Roman" w:hAnsi="Times New Roman"/>
          <w:sz w:val="28"/>
          <w:szCs w:val="28"/>
        </w:rPr>
        <w:t xml:space="preserve">— группировка с агрегацией среднего;</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.sort_values(ascending=False) </w:t>
      </w:r>
      <w:r>
        <w:rPr>
          <w:rFonts w:ascii="Times New Roman" w:cs="Times New Roman" w:eastAsia="Times New Roman" w:hAnsi="Times New Roman"/>
          <w:sz w:val="28"/>
          <w:szCs w:val="28"/>
        </w:rPr>
        <w:t xml:space="preserve">— сортировка по значению (от большего к меньшему);</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plt.bar(x, y, color, edgecolor) </w:t>
      </w:r>
      <w:r>
        <w:rPr>
          <w:rFonts w:ascii="Times New Roman" w:cs="Times New Roman" w:eastAsia="Times New Roman" w:hAnsi="Times New Roman"/>
          <w:sz w:val="28"/>
          <w:szCs w:val="28"/>
        </w:rPr>
        <w:t xml:space="preserve">— построение столбчатой диаграммы;</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plt.text() </w:t>
      </w:r>
      <w:r>
        <w:rPr>
          <w:rFonts w:ascii="Times New Roman" w:cs="Times New Roman" w:eastAsia="Times New Roman" w:hAnsi="Times New Roman"/>
          <w:sz w:val="28"/>
          <w:szCs w:val="28"/>
        </w:rPr>
        <w:t xml:space="preserve">— добавление текстовых надписей (значения над столбцами);</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plt.xlabel, plt.ylabel, plt.title </w:t>
      </w:r>
      <w:r>
        <w:rPr>
          <w:rFonts w:ascii="Times New Roman" w:cs="Times New Roman" w:eastAsia="Times New Roman" w:hAnsi="Times New Roman"/>
          <w:sz w:val="28"/>
          <w:szCs w:val="28"/>
        </w:rPr>
        <w:t xml:space="preserve">— подписи осей и заголовок;</w:t>
      </w:r>
    </w:p>
    <w:p>
      <w:pPr>
        <w:pStyle w:val="ListParagraph"/>
        <w:numPr>
          <w:ilvl w:val="0"/>
          <w:numId w:val="2"/>
        </w:numPr>
        <w:spacing w:after="60" w:line="360"/>
        <w:jc w:val="both"/>
      </w:pPr>
      <w:r>
        <w:rPr>
          <w:rFonts w:ascii="Times New Roman" w:cs="Times New Roman" w:eastAsia="Times New Roman" w:hAnsi="Times New Roman"/>
          <w:b/>
          <w:bCs/>
          <w:sz w:val="28"/>
          <w:szCs w:val="28"/>
        </w:rPr>
        <w:t xml:space="preserve">plt.grid, plt.ylim, plt.tight_layout, plt.savefig, plt.show </w:t>
      </w:r>
      <w:r>
        <w:rPr>
          <w:rFonts w:ascii="Times New Roman" w:cs="Times New Roman" w:eastAsia="Times New Roman" w:hAnsi="Times New Roman"/>
          <w:sz w:val="28"/>
          <w:szCs w:val="28"/>
        </w:rPr>
        <w:t xml:space="preserve">— оформление и вывод.</w:t>
      </w:r>
    </w:p>
    <w:p>
      <w:pPr>
        <w:pStyle w:val="Heading2"/>
        <w:spacing w:after="180" w:before="300" w:line="360"/>
      </w:pPr>
      <w:r>
        <w:rPr>
          <w:rFonts w:ascii="Times New Roman" w:cs="Times New Roman" w:eastAsia="Times New Roman" w:hAnsi="Times New Roman"/>
          <w:b/>
          <w:bCs/>
          <w:sz w:val="30"/>
          <w:szCs w:val="30"/>
        </w:rPr>
        <w:t xml:space="preserve">3.5. Полный исходный код (medical_analysis.py)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 -*- coding: utf-8 -*-</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Анализ датасета medical_exams.csv:</w:t>
            </w:r>
          </w:p>
          <w:p>
            <w:pPr>
              <w:spacing w:after="0" w:line="280"/>
              <w:jc w:val="left"/>
            </w:pPr>
            <w:r>
              <w:rPr>
                <w:rFonts w:ascii="Consolas" w:cs="Consolas" w:eastAsia="Consolas" w:hAnsi="Consolas"/>
                <w:sz w:val="22"/>
                <w:szCs w:val="22"/>
              </w:rPr>
              <w:t xml:space="preserve">1) подсчёт количества обследований для мужчин и женщин отдельно;</w:t>
            </w:r>
          </w:p>
          <w:p>
            <w:pPr>
              <w:spacing w:after="0" w:line="280"/>
              <w:jc w:val="left"/>
            </w:pPr>
            <w:r>
              <w:rPr>
                <w:rFonts w:ascii="Consolas" w:cs="Consolas" w:eastAsia="Consolas" w:hAnsi="Consolas"/>
                <w:sz w:val="22"/>
                <w:szCs w:val="22"/>
              </w:rPr>
              <w:t xml:space="preserve">2) построение столбчатой диаграммы среднего уровня холестерина</w:t>
            </w:r>
          </w:p>
          <w:p>
            <w:pPr>
              <w:spacing w:after="0" w:line="280"/>
              <w:jc w:val="left"/>
            </w:pPr>
            <w:r>
              <w:rPr>
                <w:rFonts w:ascii="Consolas" w:cs="Consolas" w:eastAsia="Consolas" w:hAnsi="Consolas"/>
                <w:sz w:val="22"/>
                <w:szCs w:val="22"/>
              </w:rPr>
              <w:t xml:space="preserve">   для каждого диагноза.</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Запуск:</w:t>
            </w:r>
          </w:p>
          <w:p>
            <w:pPr>
              <w:spacing w:after="0" w:line="280"/>
              <w:jc w:val="left"/>
            </w:pPr>
            <w:r>
              <w:rPr>
                <w:rFonts w:ascii="Consolas" w:cs="Consolas" w:eastAsia="Consolas" w:hAnsi="Consolas"/>
                <w:sz w:val="22"/>
                <w:szCs w:val="22"/>
              </w:rPr>
              <w:t xml:space="preserve">    pip install pandas matplotlib</w:t>
            </w:r>
          </w:p>
          <w:p>
            <w:pPr>
              <w:spacing w:after="0" w:line="280"/>
              <w:jc w:val="left"/>
            </w:pPr>
            <w:r>
              <w:rPr>
                <w:rFonts w:ascii="Consolas" w:cs="Consolas" w:eastAsia="Consolas" w:hAnsi="Consolas"/>
                <w:sz w:val="22"/>
                <w:szCs w:val="22"/>
              </w:rPr>
              <w:t xml:space="preserve">    python medical_analysis.py</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import pandas as pd</w:t>
            </w:r>
          </w:p>
          <w:p>
            <w:pPr>
              <w:spacing w:after="0" w:line="280"/>
              <w:jc w:val="left"/>
            </w:pPr>
            <w:r>
              <w:rPr>
                <w:rFonts w:ascii="Consolas" w:cs="Consolas" w:eastAsia="Consolas" w:hAnsi="Consolas"/>
                <w:sz w:val="22"/>
                <w:szCs w:val="22"/>
              </w:rPr>
              <w:t xml:space="preserve">import matplotlib.pyplot as plt</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Шаг 1. Загрузка датасета ----------</w:t>
            </w:r>
          </w:p>
          <w:p>
            <w:pPr>
              <w:spacing w:after="0" w:line="280"/>
              <w:jc w:val="left"/>
            </w:pPr>
            <w:r>
              <w:rPr>
                <w:rFonts w:ascii="Consolas" w:cs="Consolas" w:eastAsia="Consolas" w:hAnsi="Consolas"/>
                <w:sz w:val="22"/>
                <w:szCs w:val="22"/>
              </w:rPr>
              <w:t xml:space="preserve">df = pd.read_csv("medical_exams.csv")</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print("Размер таблицы:", df.shape)</w:t>
            </w:r>
          </w:p>
          <w:p>
            <w:pPr>
              <w:spacing w:after="0" w:line="280"/>
              <w:jc w:val="left"/>
            </w:pPr>
            <w:r>
              <w:rPr>
                <w:rFonts w:ascii="Consolas" w:cs="Consolas" w:eastAsia="Consolas" w:hAnsi="Consolas"/>
                <w:sz w:val="22"/>
                <w:szCs w:val="22"/>
              </w:rPr>
              <w:t xml:space="preserve">print("Колонки:", df.columns.tolist())</w:t>
            </w:r>
          </w:p>
          <w:p>
            <w:pPr>
              <w:spacing w:after="0" w:line="280"/>
              <w:jc w:val="left"/>
            </w:pPr>
            <w:r>
              <w:rPr>
                <w:rFonts w:ascii="Consolas" w:cs="Consolas" w:eastAsia="Consolas" w:hAnsi="Consolas"/>
                <w:sz w:val="22"/>
                <w:szCs w:val="22"/>
              </w:rPr>
              <w:t xml:space="preserve">print("\nПервые 5 строк:")</w:t>
            </w:r>
          </w:p>
          <w:p>
            <w:pPr>
              <w:spacing w:after="0" w:line="280"/>
              <w:jc w:val="left"/>
            </w:pPr>
            <w:r>
              <w:rPr>
                <w:rFonts w:ascii="Consolas" w:cs="Consolas" w:eastAsia="Consolas" w:hAnsi="Consolas"/>
                <w:sz w:val="22"/>
                <w:szCs w:val="22"/>
              </w:rPr>
              <w:t xml:space="preserve">print(df.head())</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Шаг 2. Очистка данных ----------</w:t>
            </w:r>
          </w:p>
          <w:p>
            <w:pPr>
              <w:spacing w:after="0" w:line="280"/>
              <w:jc w:val="left"/>
            </w:pPr>
            <w:r>
              <w:rPr>
                <w:rFonts w:ascii="Consolas" w:cs="Consolas" w:eastAsia="Consolas" w:hAnsi="Consolas"/>
                <w:sz w:val="22"/>
                <w:szCs w:val="22"/>
              </w:rPr>
              <w:t xml:space="preserve">df = df.dropna(subset=["gender", "cholesterol", "diagnosis"])</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Шаг 3. Количество обследований по полу ----------</w:t>
            </w:r>
          </w:p>
          <w:p>
            <w:pPr>
              <w:spacing w:after="0" w:line="280"/>
              <w:jc w:val="left"/>
            </w:pPr>
            <w:r>
              <w:rPr>
                <w:rFonts w:ascii="Consolas" w:cs="Consolas" w:eastAsia="Consolas" w:hAnsi="Consolas"/>
                <w:sz w:val="22"/>
                <w:szCs w:val="22"/>
              </w:rPr>
              <w:t xml:space="preserve">gender_counts = df["gender"].value_counts()</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print("\n=== Количество обследований по полу ===")</w:t>
            </w:r>
          </w:p>
          <w:p>
            <w:pPr>
              <w:spacing w:after="0" w:line="280"/>
              <w:jc w:val="left"/>
            </w:pPr>
            <w:r>
              <w:rPr>
                <w:rFonts w:ascii="Consolas" w:cs="Consolas" w:eastAsia="Consolas" w:hAnsi="Consolas"/>
                <w:sz w:val="22"/>
                <w:szCs w:val="22"/>
              </w:rPr>
              <w:t xml:space="preserve">print(f"Мужчины (M): {gender_counts.get('M', 0)}")</w:t>
            </w:r>
          </w:p>
          <w:p>
            <w:pPr>
              <w:spacing w:after="0" w:line="280"/>
              <w:jc w:val="left"/>
            </w:pPr>
            <w:r>
              <w:rPr>
                <w:rFonts w:ascii="Consolas" w:cs="Consolas" w:eastAsia="Consolas" w:hAnsi="Consolas"/>
                <w:sz w:val="22"/>
                <w:szCs w:val="22"/>
              </w:rPr>
              <w:t xml:space="preserve">print(f"Женщины (F): {gender_counts.get('F', 0)}")</w:t>
            </w:r>
          </w:p>
          <w:p>
            <w:pPr>
              <w:spacing w:after="0" w:line="280"/>
              <w:jc w:val="left"/>
            </w:pPr>
            <w:r>
              <w:rPr>
                <w:rFonts w:ascii="Consolas" w:cs="Consolas" w:eastAsia="Consolas" w:hAnsi="Consolas"/>
                <w:sz w:val="22"/>
                <w:szCs w:val="22"/>
              </w:rPr>
              <w:t xml:space="preserve">print(f"Всего:       {len(df)}")</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Шаг 4. Средний холестерин по диагнозу ----------</w:t>
            </w:r>
          </w:p>
          <w:p>
            <w:pPr>
              <w:spacing w:after="0" w:line="280"/>
              <w:jc w:val="left"/>
            </w:pPr>
            <w:r>
              <w:rPr>
                <w:rFonts w:ascii="Consolas" w:cs="Consolas" w:eastAsia="Consolas" w:hAnsi="Consolas"/>
                <w:sz w:val="22"/>
                <w:szCs w:val="22"/>
              </w:rPr>
              <w:t xml:space="preserve">mean_chol = (</w:t>
            </w:r>
          </w:p>
          <w:p>
            <w:pPr>
              <w:spacing w:after="0" w:line="280"/>
              <w:jc w:val="left"/>
            </w:pPr>
            <w:r>
              <w:rPr>
                <w:rFonts w:ascii="Consolas" w:cs="Consolas" w:eastAsia="Consolas" w:hAnsi="Consolas"/>
                <w:sz w:val="22"/>
                <w:szCs w:val="22"/>
              </w:rPr>
              <w:t xml:space="preserve">    df.groupby("diagnosis")["cholesterol"]</w:t>
            </w:r>
          </w:p>
          <w:p>
            <w:pPr>
              <w:spacing w:after="0" w:line="280"/>
              <w:jc w:val="left"/>
            </w:pPr>
            <w:r>
              <w:rPr>
                <w:rFonts w:ascii="Consolas" w:cs="Consolas" w:eastAsia="Consolas" w:hAnsi="Consolas"/>
                <w:sz w:val="22"/>
                <w:szCs w:val="22"/>
              </w:rPr>
              <w:t xml:space="preserve">      .mean()</w:t>
            </w:r>
          </w:p>
          <w:p>
            <w:pPr>
              <w:spacing w:after="0" w:line="280"/>
              <w:jc w:val="left"/>
            </w:pPr>
            <w:r>
              <w:rPr>
                <w:rFonts w:ascii="Consolas" w:cs="Consolas" w:eastAsia="Consolas" w:hAnsi="Consolas"/>
                <w:sz w:val="22"/>
                <w:szCs w:val="22"/>
              </w:rPr>
              <w:t xml:space="preserve">      .sort_values(ascending=False)</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print("\n=== Средний холестерин по диагнозу (ммоль/л) ===")</w:t>
            </w:r>
          </w:p>
          <w:p>
            <w:pPr>
              <w:spacing w:after="0" w:line="280"/>
              <w:jc w:val="left"/>
            </w:pPr>
            <w:r>
              <w:rPr>
                <w:rFonts w:ascii="Consolas" w:cs="Consolas" w:eastAsia="Consolas" w:hAnsi="Consolas"/>
                <w:sz w:val="22"/>
                <w:szCs w:val="22"/>
              </w:rPr>
              <w:t xml:space="preserve">print(mean_chol.round(2).to_string())</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 Шаг 5. Построение столбчатой диаграммы ----------</w:t>
            </w:r>
          </w:p>
          <w:p>
            <w:pPr>
              <w:spacing w:after="0" w:line="280"/>
              <w:jc w:val="left"/>
            </w:pPr>
            <w:r>
              <w:rPr>
                <w:rFonts w:ascii="Consolas" w:cs="Consolas" w:eastAsia="Consolas" w:hAnsi="Consolas"/>
                <w:sz w:val="22"/>
                <w:szCs w:val="22"/>
              </w:rPr>
              <w:t xml:space="preserve">colors = ["#C0392B", "#E67E22", "#F39C12", "#3498DB", "#9B59B6", "#27AE60"]</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plt.figure(figsize=(11, 6))</w:t>
            </w:r>
          </w:p>
          <w:p>
            <w:pPr>
              <w:spacing w:after="0" w:line="280"/>
              <w:jc w:val="left"/>
            </w:pPr>
            <w:r>
              <w:rPr>
                <w:rFonts w:ascii="Consolas" w:cs="Consolas" w:eastAsia="Consolas" w:hAnsi="Consolas"/>
                <w:sz w:val="22"/>
                <w:szCs w:val="22"/>
              </w:rPr>
              <w:t xml:space="preserve">bars = plt.bar(</w:t>
            </w:r>
          </w:p>
          <w:p>
            <w:pPr>
              <w:spacing w:after="0" w:line="280"/>
              <w:jc w:val="left"/>
            </w:pPr>
            <w:r>
              <w:rPr>
                <w:rFonts w:ascii="Consolas" w:cs="Consolas" w:eastAsia="Consolas" w:hAnsi="Consolas"/>
                <w:sz w:val="22"/>
                <w:szCs w:val="22"/>
              </w:rPr>
              <w:t xml:space="preserve">    mean_chol.index,</w:t>
            </w:r>
          </w:p>
          <w:p>
            <w:pPr>
              <w:spacing w:after="0" w:line="280"/>
              <w:jc w:val="left"/>
            </w:pPr>
            <w:r>
              <w:rPr>
                <w:rFonts w:ascii="Consolas" w:cs="Consolas" w:eastAsia="Consolas" w:hAnsi="Consolas"/>
                <w:sz w:val="22"/>
                <w:szCs w:val="22"/>
              </w:rPr>
              <w:t xml:space="preserve">    mean_chol.values,</w:t>
            </w:r>
          </w:p>
          <w:p>
            <w:pPr>
              <w:spacing w:after="0" w:line="280"/>
              <w:jc w:val="left"/>
            </w:pPr>
            <w:r>
              <w:rPr>
                <w:rFonts w:ascii="Consolas" w:cs="Consolas" w:eastAsia="Consolas" w:hAnsi="Consolas"/>
                <w:sz w:val="22"/>
                <w:szCs w:val="22"/>
              </w:rPr>
              <w:t xml:space="preserve">    color=colors[:len(mean_chol)],</w:t>
            </w:r>
          </w:p>
          <w:p>
            <w:pPr>
              <w:spacing w:after="0" w:line="280"/>
              <w:jc w:val="left"/>
            </w:pPr>
            <w:r>
              <w:rPr>
                <w:rFonts w:ascii="Consolas" w:cs="Consolas" w:eastAsia="Consolas" w:hAnsi="Consolas"/>
                <w:sz w:val="22"/>
                <w:szCs w:val="22"/>
              </w:rPr>
              <w:t xml:space="preserve">    edgecolor="#333333",</w:t>
            </w:r>
          </w:p>
          <w:p>
            <w:pPr>
              <w:spacing w:after="0" w:line="280"/>
              <w:jc w:val="left"/>
            </w:pPr>
            <w:r>
              <w:rPr>
                <w:rFonts w:ascii="Consolas" w:cs="Consolas" w:eastAsia="Consolas" w:hAnsi="Consolas"/>
                <w:sz w:val="22"/>
                <w:szCs w:val="22"/>
              </w:rPr>
              <w:t xml:space="preserve">    linewidth=0.8,</w:t>
            </w:r>
          </w:p>
          <w:p>
            <w:pPr>
              <w:spacing w:after="0" w:line="280"/>
              <w:jc w:val="left"/>
            </w:pPr>
            <w:r>
              <w:rPr>
                <w:rFonts w:ascii="Consolas" w:cs="Consolas" w:eastAsia="Consolas" w:hAnsi="Consolas"/>
                <w:sz w:val="22"/>
                <w:szCs w:val="22"/>
              </w:rPr>
              <w:t xml:space="preserve">)</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Подписи значений над столбцами</w:t>
            </w:r>
          </w:p>
          <w:p>
            <w:pPr>
              <w:spacing w:after="0" w:line="280"/>
              <w:jc w:val="left"/>
            </w:pPr>
            <w:r>
              <w:rPr>
                <w:rFonts w:ascii="Consolas" w:cs="Consolas" w:eastAsia="Consolas" w:hAnsi="Consolas"/>
                <w:sz w:val="22"/>
                <w:szCs w:val="22"/>
              </w:rPr>
              <w:t xml:space="preserve">for bar in bars:</w:t>
            </w:r>
          </w:p>
          <w:p>
            <w:pPr>
              <w:spacing w:after="0" w:line="280"/>
              <w:jc w:val="left"/>
            </w:pPr>
            <w:r>
              <w:rPr>
                <w:rFonts w:ascii="Consolas" w:cs="Consolas" w:eastAsia="Consolas" w:hAnsi="Consolas"/>
                <w:sz w:val="22"/>
                <w:szCs w:val="22"/>
              </w:rPr>
              <w:t xml:space="preserve">    height = bar.get_height()</w:t>
            </w:r>
          </w:p>
          <w:p>
            <w:pPr>
              <w:spacing w:after="0" w:line="280"/>
              <w:jc w:val="left"/>
            </w:pPr>
            <w:r>
              <w:rPr>
                <w:rFonts w:ascii="Consolas" w:cs="Consolas" w:eastAsia="Consolas" w:hAnsi="Consolas"/>
                <w:sz w:val="22"/>
                <w:szCs w:val="22"/>
              </w:rPr>
              <w:t xml:space="preserve">    plt.text(</w:t>
            </w:r>
          </w:p>
          <w:p>
            <w:pPr>
              <w:spacing w:after="0" w:line="280"/>
              <w:jc w:val="left"/>
            </w:pPr>
            <w:r>
              <w:rPr>
                <w:rFonts w:ascii="Consolas" w:cs="Consolas" w:eastAsia="Consolas" w:hAnsi="Consolas"/>
                <w:sz w:val="22"/>
                <w:szCs w:val="22"/>
              </w:rPr>
              <w:t xml:space="preserve">        bar.get_x() + bar.get_width() / 2,</w:t>
            </w:r>
          </w:p>
          <w:p>
            <w:pPr>
              <w:spacing w:after="0" w:line="280"/>
              <w:jc w:val="left"/>
            </w:pPr>
            <w:r>
              <w:rPr>
                <w:rFonts w:ascii="Consolas" w:cs="Consolas" w:eastAsia="Consolas" w:hAnsi="Consolas"/>
                <w:sz w:val="22"/>
                <w:szCs w:val="22"/>
              </w:rPr>
              <w:t xml:space="preserve">        height + 0.05,</w:t>
            </w:r>
          </w:p>
          <w:p>
            <w:pPr>
              <w:spacing w:after="0" w:line="280"/>
              <w:jc w:val="left"/>
            </w:pPr>
            <w:r>
              <w:rPr>
                <w:rFonts w:ascii="Consolas" w:cs="Consolas" w:eastAsia="Consolas" w:hAnsi="Consolas"/>
                <w:sz w:val="22"/>
                <w:szCs w:val="22"/>
              </w:rPr>
              <w:t xml:space="preserve">        f"{height:.2f}",</w:t>
            </w:r>
          </w:p>
          <w:p>
            <w:pPr>
              <w:spacing w:after="0" w:line="280"/>
              <w:jc w:val="left"/>
            </w:pPr>
            <w:r>
              <w:rPr>
                <w:rFonts w:ascii="Consolas" w:cs="Consolas" w:eastAsia="Consolas" w:hAnsi="Consolas"/>
                <w:sz w:val="22"/>
                <w:szCs w:val="22"/>
              </w:rPr>
              <w:t xml:space="preserve">        ha="center", va="bottom", fontsize=11,</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plt.xlabel("Диагноз", fontsize=12)</w:t>
            </w:r>
          </w:p>
          <w:p>
            <w:pPr>
              <w:spacing w:after="0" w:line="280"/>
              <w:jc w:val="left"/>
            </w:pPr>
            <w:r>
              <w:rPr>
                <w:rFonts w:ascii="Consolas" w:cs="Consolas" w:eastAsia="Consolas" w:hAnsi="Consolas"/>
                <w:sz w:val="22"/>
                <w:szCs w:val="22"/>
              </w:rPr>
              <w:t xml:space="preserve">plt.ylabel("Средний уровень холестерина, ммоль/л", fontsize=12)</w:t>
            </w:r>
          </w:p>
          <w:p>
            <w:pPr>
              <w:spacing w:after="0" w:line="280"/>
              <w:jc w:val="left"/>
            </w:pPr>
            <w:r>
              <w:rPr>
                <w:rFonts w:ascii="Consolas" w:cs="Consolas" w:eastAsia="Consolas" w:hAnsi="Consolas"/>
                <w:sz w:val="22"/>
                <w:szCs w:val="22"/>
              </w:rPr>
              <w:t xml:space="preserve">plt.title("Средний уровень холестерина по диагнозам",</w:t>
            </w:r>
          </w:p>
          <w:p>
            <w:pPr>
              <w:spacing w:after="0" w:line="280"/>
              <w:jc w:val="left"/>
            </w:pPr>
            <w:r>
              <w:rPr>
                <w:rFonts w:ascii="Consolas" w:cs="Consolas" w:eastAsia="Consolas" w:hAnsi="Consolas"/>
                <w:sz w:val="22"/>
                <w:szCs w:val="22"/>
              </w:rPr>
              <w:t xml:space="preserve">          fontsize=14, fontweight="bold")</w:t>
            </w:r>
          </w:p>
          <w:p>
            <w:pPr>
              <w:spacing w:after="0" w:line="280"/>
              <w:jc w:val="left"/>
            </w:pPr>
            <w:r>
              <w:rPr>
                <w:rFonts w:ascii="Consolas" w:cs="Consolas" w:eastAsia="Consolas" w:hAnsi="Consolas"/>
                <w:sz w:val="22"/>
                <w:szCs w:val="22"/>
              </w:rPr>
              <w:t xml:space="preserve">plt.grid(True, axis="y", alpha=0.3)</w:t>
            </w:r>
          </w:p>
          <w:p>
            <w:pPr>
              <w:spacing w:after="0" w:line="280"/>
              <w:jc w:val="left"/>
            </w:pPr>
            <w:r>
              <w:rPr>
                <w:rFonts w:ascii="Consolas" w:cs="Consolas" w:eastAsia="Consolas" w:hAnsi="Consolas"/>
                <w:sz w:val="22"/>
                <w:szCs w:val="22"/>
              </w:rPr>
              <w:t xml:space="preserve">plt.ylim(0, max(mean_chol.values) * 1.15)</w:t>
            </w:r>
          </w:p>
          <w:p>
            <w:pPr>
              <w:spacing w:after="0" w:line="280"/>
              <w:jc w:val="left"/>
            </w:pPr>
            <w:r>
              <w:rPr>
                <w:rFonts w:ascii="Consolas" w:cs="Consolas" w:eastAsia="Consolas" w:hAnsi="Consolas"/>
                <w:sz w:val="22"/>
                <w:szCs w:val="22"/>
              </w:rPr>
              <w:t xml:space="preserve">plt.tight_layout()</w:t>
            </w:r>
          </w:p>
          <w:p>
            <w:pPr>
              <w:spacing w:after="0" w:line="280"/>
              <w:jc w:val="left"/>
            </w:pPr>
            <w:r>
              <w:rPr>
                <w:rFonts w:ascii="Consolas" w:cs="Consolas" w:eastAsia="Consolas" w:hAnsi="Consolas"/>
                <w:sz w:val="22"/>
                <w:szCs w:val="22"/>
              </w:rPr>
              <w:t xml:space="preserve"> </w:t>
            </w:r>
          </w:p>
          <w:p>
            <w:pPr>
              <w:spacing w:after="0" w:line="280"/>
              <w:jc w:val="left"/>
            </w:pPr>
            <w:r>
              <w:rPr>
                <w:rFonts w:ascii="Consolas" w:cs="Consolas" w:eastAsia="Consolas" w:hAnsi="Consolas"/>
                <w:sz w:val="22"/>
                <w:szCs w:val="22"/>
              </w:rPr>
              <w:t xml:space="preserve">plt.savefig("cholesterol_by_diagnosis.png", dpi=150)</w:t>
            </w:r>
          </w:p>
          <w:p>
            <w:pPr>
              <w:spacing w:after="0" w:line="280"/>
              <w:jc w:val="left"/>
            </w:pPr>
            <w:r>
              <w:rPr>
                <w:rFonts w:ascii="Consolas" w:cs="Consolas" w:eastAsia="Consolas" w:hAnsi="Consolas"/>
                <w:sz w:val="22"/>
                <w:szCs w:val="22"/>
              </w:rPr>
              <w:t xml:space="preserve">plt.show()</w:t>
            </w:r>
          </w:p>
        </w:tc>
      </w:tr>
    </w:tbl>
    <w:p>
      <w:pPr>
        <w:spacing w:after="120"/>
      </w:pPr>
      <w:r>
        <w:rPr>
          <w:rFonts w:ascii="Times New Roman" w:cs="Times New Roman" w:eastAsia="Times New Roman" w:hAnsi="Times New Roman"/>
          <w:sz w:val="28"/>
          <w:szCs w:val="28"/>
        </w:rPr>
        <w:t xml:space="preserve"/>
      </w:r>
    </w:p>
    <w:p>
      <w:pPr>
        <w:pStyle w:val="Heading2"/>
        <w:spacing w:after="180" w:before="300" w:line="360"/>
      </w:pPr>
      <w:r>
        <w:rPr>
          <w:rFonts w:ascii="Times New Roman" w:cs="Times New Roman" w:eastAsia="Times New Roman" w:hAnsi="Times New Roman"/>
          <w:b/>
          <w:bCs/>
          <w:sz w:val="30"/>
          <w:szCs w:val="30"/>
        </w:rPr>
        <w:t xml:space="preserve">3.6. Скрипт генерации датасета (generate_medical_exams.py)</w:t>
      </w:r>
    </w:p>
    <w:p>
      <w:pPr>
        <w:spacing w:after="120" w:line="360"/>
        <w:ind w:firstLine="720"/>
        <w:jc w:val="both"/>
      </w:pPr>
      <w:r>
        <w:rPr>
          <w:rFonts w:ascii="Times New Roman" w:cs="Times New Roman" w:eastAsia="Times New Roman" w:hAnsi="Times New Roman"/>
          <w:sz w:val="28"/>
          <w:szCs w:val="28"/>
        </w:rPr>
        <w:t xml:space="preserve">Поскольку файл medical_exams.csv не входит в стандартный комплект задания, он был сгенерирован отдельным скриптом. Генератор создаёт 2000 реалистичных записей с зависимостями: возраст влияет на холестерин (с возрастом растёт), диагноз определяет средние уровни холестерина и глюкозы (ИБС и атеросклероз — высокий холестерин; диабет — высокая глюкоза), рост зависит от пола, вес — от роста через ИМТ. Используется фиксированный seed=42 для воспроизводимости. Полный текст скрипта приложен файлом generate_medical_exams.py.</w:t>
      </w:r>
    </w:p>
    <w:p>
      <w:pPr>
        <w:pStyle w:val="Heading2"/>
        <w:spacing w:after="180" w:before="300" w:line="360"/>
      </w:pPr>
      <w:r>
        <w:rPr>
          <w:rFonts w:ascii="Times New Roman" w:cs="Times New Roman" w:eastAsia="Times New Roman" w:hAnsi="Times New Roman"/>
          <w:b/>
          <w:bCs/>
          <w:sz w:val="30"/>
          <w:szCs w:val="30"/>
        </w:rPr>
        <w:t xml:space="preserve">3.7. Результат работы программы</w:t>
      </w:r>
    </w:p>
    <w:p>
      <w:pPr>
        <w:pStyle w:val="Heading3"/>
        <w:spacing w:after="120" w:before="240" w:line="360"/>
      </w:pPr>
      <w:r>
        <w:rPr>
          <w:rFonts w:ascii="Times New Roman" w:cs="Times New Roman" w:eastAsia="Times New Roman" w:hAnsi="Times New Roman"/>
          <w:b/>
          <w:bCs/>
          <w:i/>
          <w:iCs/>
          <w:sz w:val="28"/>
          <w:szCs w:val="28"/>
        </w:rPr>
        <w:t xml:space="preserve">Подсчёт по полу</w:t>
      </w:r>
    </w:p>
    <w:p>
      <w:pPr>
        <w:spacing w:after="120" w:line="360"/>
        <w:ind w:firstLine="720"/>
        <w:jc w:val="both"/>
      </w:pPr>
      <w:r>
        <w:rPr>
          <w:rFonts w:ascii="Times New Roman" w:cs="Times New Roman" w:eastAsia="Times New Roman" w:hAnsi="Times New Roman"/>
          <w:sz w:val="28"/>
          <w:szCs w:val="28"/>
        </w:rPr>
        <w:t xml:space="preserve">После запуска программа выводит в консоль количество обследований по полу:</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 Количество обследований по полу ===</w:t>
            </w:r>
          </w:p>
          <w:p>
            <w:pPr>
              <w:spacing w:after="0" w:line="280"/>
              <w:jc w:val="left"/>
            </w:pPr>
            <w:r>
              <w:rPr>
                <w:rFonts w:ascii="Consolas" w:cs="Consolas" w:eastAsia="Consolas" w:hAnsi="Consolas"/>
                <w:sz w:val="22"/>
                <w:szCs w:val="22"/>
              </w:rPr>
              <w:t xml:space="preserve">Мужчины (M): 914</w:t>
            </w:r>
          </w:p>
          <w:p>
            <w:pPr>
              <w:spacing w:after="0" w:line="280"/>
              <w:jc w:val="left"/>
            </w:pPr>
            <w:r>
              <w:rPr>
                <w:rFonts w:ascii="Consolas" w:cs="Consolas" w:eastAsia="Consolas" w:hAnsi="Consolas"/>
                <w:sz w:val="22"/>
                <w:szCs w:val="22"/>
              </w:rPr>
              <w:t xml:space="preserve">Женщины (F): 1086</w:t>
            </w:r>
          </w:p>
          <w:p>
            <w:pPr>
              <w:spacing w:after="0" w:line="280"/>
              <w:jc w:val="left"/>
            </w:pPr>
            <w:r>
              <w:rPr>
                <w:rFonts w:ascii="Consolas" w:cs="Consolas" w:eastAsia="Consolas" w:hAnsi="Consolas"/>
                <w:sz w:val="22"/>
                <w:szCs w:val="22"/>
              </w:rPr>
              <w:t xml:space="preserve">Всего:       2000</w:t>
            </w:r>
          </w:p>
        </w:tc>
      </w:tr>
    </w:tbl>
    <w:p>
      <w:pPr>
        <w:spacing w:after="120"/>
      </w:pPr>
      <w:r>
        <w:rPr>
          <w:rFonts w:ascii="Times New Roman" w:cs="Times New Roman" w:eastAsia="Times New Roman" w:hAnsi="Times New Roman"/>
          <w:sz w:val="28"/>
          <w:szCs w:val="28"/>
        </w:rPr>
        <w:t xml:space="preserve"/>
      </w:r>
    </w:p>
    <w:p>
      <w:pPr>
        <w:spacing w:after="120" w:line="360"/>
        <w:ind w:firstLine="720"/>
        <w:jc w:val="both"/>
      </w:pPr>
      <w:r>
        <w:rPr>
          <w:rFonts w:ascii="Times New Roman" w:cs="Times New Roman" w:eastAsia="Times New Roman" w:hAnsi="Times New Roman"/>
          <w:sz w:val="28"/>
          <w:szCs w:val="28"/>
        </w:rPr>
        <w:t xml:space="preserve">Видно небольшое смещение в сторону женщин (54,3 %), что соответствует наблюдаемой практике: женщины несколько чаще проходят плановые медицинские обследования.</w:t>
      </w:r>
    </w:p>
    <w:p>
      <w:pPr>
        <w:pStyle w:val="Heading3"/>
        <w:spacing w:after="120" w:before="240" w:line="360"/>
      </w:pPr>
      <w:r>
        <w:rPr>
          <w:rFonts w:ascii="Times New Roman" w:cs="Times New Roman" w:eastAsia="Times New Roman" w:hAnsi="Times New Roman"/>
          <w:b/>
          <w:bCs/>
          <w:i/>
          <w:iCs/>
          <w:sz w:val="28"/>
          <w:szCs w:val="28"/>
        </w:rPr>
        <w:t xml:space="preserve">Средний холестерин по диагнозу</w:t>
      </w:r>
    </w:p>
    <w:p>
      <w:pPr>
        <w:spacing w:after="120" w:line="360"/>
        <w:ind w:firstLine="720"/>
        <w:jc w:val="both"/>
      </w:pPr>
      <w:r>
        <w:rPr>
          <w:rFonts w:ascii="Times New Roman" w:cs="Times New Roman" w:eastAsia="Times New Roman" w:hAnsi="Times New Roman"/>
          <w:sz w:val="28"/>
          <w:szCs w:val="28"/>
        </w:rPr>
        <w:t xml:space="preserve">Группировка с агрегацией даёт следующие значения, отсортированные по убыванию:</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888888" w:sz="4"/>
              <w:left w:val="single" w:color="888888" w:sz="4"/>
              <w:bottom w:val="single" w:color="888888" w:sz="4"/>
              <w:right w:val="single" w:color="888888" w:sz="4"/>
            </w:tcBorders>
            <w:shd w:fill="F5F5F5" w:val="clear"/>
            <w:tcMar>
              <w:top w:type="dxa" w:w="120"/>
              <w:left w:type="dxa" w:w="160"/>
              <w:bottom w:type="dxa" w:w="120"/>
              <w:right w:type="dxa" w:w="160"/>
            </w:tcMar>
          </w:tcPr>
          <w:p>
            <w:pPr>
              <w:spacing w:after="0" w:line="280"/>
              <w:jc w:val="left"/>
            </w:pPr>
            <w:r>
              <w:rPr>
                <w:rFonts w:ascii="Consolas" w:cs="Consolas" w:eastAsia="Consolas" w:hAnsi="Consolas"/>
                <w:sz w:val="22"/>
                <w:szCs w:val="22"/>
              </w:rPr>
              <w:t xml:space="preserve">=== Средний холестерин по диагнозу (ммоль/л) ===</w:t>
            </w:r>
          </w:p>
          <w:p>
            <w:pPr>
              <w:spacing w:after="0" w:line="280"/>
              <w:jc w:val="left"/>
            </w:pPr>
            <w:r>
              <w:rPr>
                <w:rFonts w:ascii="Consolas" w:cs="Consolas" w:eastAsia="Consolas" w:hAnsi="Consolas"/>
                <w:sz w:val="22"/>
                <w:szCs w:val="22"/>
              </w:rPr>
              <w:t xml:space="preserve">diagnosis</w:t>
            </w:r>
          </w:p>
          <w:p>
            <w:pPr>
              <w:spacing w:after="0" w:line="280"/>
              <w:jc w:val="left"/>
            </w:pPr>
            <w:r>
              <w:rPr>
                <w:rFonts w:ascii="Consolas" w:cs="Consolas" w:eastAsia="Consolas" w:hAnsi="Consolas"/>
                <w:sz w:val="22"/>
                <w:szCs w:val="22"/>
              </w:rPr>
              <w:t xml:space="preserve">ИБС             7.01</w:t>
            </w:r>
          </w:p>
          <w:p>
            <w:pPr>
              <w:spacing w:after="0" w:line="280"/>
              <w:jc w:val="left"/>
            </w:pPr>
            <w:r>
              <w:rPr>
                <w:rFonts w:ascii="Consolas" w:cs="Consolas" w:eastAsia="Consolas" w:hAnsi="Consolas"/>
                <w:sz w:val="22"/>
                <w:szCs w:val="22"/>
              </w:rPr>
              <w:t xml:space="preserve">Атеросклероз    6.71</w:t>
            </w:r>
          </w:p>
          <w:p>
            <w:pPr>
              <w:spacing w:after="0" w:line="280"/>
              <w:jc w:val="left"/>
            </w:pPr>
            <w:r>
              <w:rPr>
                <w:rFonts w:ascii="Consolas" w:cs="Consolas" w:eastAsia="Consolas" w:hAnsi="Consolas"/>
                <w:sz w:val="22"/>
                <w:szCs w:val="22"/>
              </w:rPr>
              <w:t xml:space="preserve">Диабет          6.11</w:t>
            </w:r>
          </w:p>
          <w:p>
            <w:pPr>
              <w:spacing w:after="0" w:line="280"/>
              <w:jc w:val="left"/>
            </w:pPr>
            <w:r>
              <w:rPr>
                <w:rFonts w:ascii="Consolas" w:cs="Consolas" w:eastAsia="Consolas" w:hAnsi="Consolas"/>
                <w:sz w:val="22"/>
                <w:szCs w:val="22"/>
              </w:rPr>
              <w:t xml:space="preserve">Гипертония      5.70</w:t>
            </w:r>
          </w:p>
          <w:p>
            <w:pPr>
              <w:spacing w:after="0" w:line="280"/>
              <w:jc w:val="left"/>
            </w:pPr>
            <w:r>
              <w:rPr>
                <w:rFonts w:ascii="Consolas" w:cs="Consolas" w:eastAsia="Consolas" w:hAnsi="Consolas"/>
                <w:sz w:val="22"/>
                <w:szCs w:val="22"/>
              </w:rPr>
              <w:t xml:space="preserve">Аритмия         5.36</w:t>
            </w:r>
          </w:p>
          <w:p>
            <w:pPr>
              <w:spacing w:after="0" w:line="280"/>
              <w:jc w:val="left"/>
            </w:pPr>
            <w:r>
              <w:rPr>
                <w:rFonts w:ascii="Consolas" w:cs="Consolas" w:eastAsia="Consolas" w:hAnsi="Consolas"/>
                <w:sz w:val="22"/>
                <w:szCs w:val="22"/>
              </w:rPr>
              <w:t xml:space="preserve">Здоров          4.70</w:t>
            </w:r>
          </w:p>
        </w:tc>
      </w:tr>
    </w:tbl>
    <w:p>
      <w:pPr>
        <w:spacing w:after="120"/>
      </w:pPr>
      <w:r>
        <w:rPr>
          <w:rFonts w:ascii="Times New Roman" w:cs="Times New Roman" w:eastAsia="Times New Roman" w:hAnsi="Times New Roman"/>
          <w:sz w:val="28"/>
          <w:szCs w:val="28"/>
        </w:rPr>
        <w:t xml:space="preserve"/>
      </w:r>
    </w:p>
    <w:p>
      <w:pPr>
        <w:pStyle w:val="Heading3"/>
        <w:spacing w:after="120" w:before="240" w:line="360"/>
      </w:pPr>
      <w:r>
        <w:rPr>
          <w:rFonts w:ascii="Times New Roman" w:cs="Times New Roman" w:eastAsia="Times New Roman" w:hAnsi="Times New Roman"/>
          <w:b/>
          <w:bCs/>
          <w:i/>
          <w:iCs/>
          <w:sz w:val="28"/>
          <w:szCs w:val="28"/>
        </w:rPr>
        <w:t xml:space="preserve">Столбчатая диаграмма</w:t>
      </w:r>
    </w:p>
    <w:p>
      <w:pPr>
        <w:spacing w:after="120" w:line="360"/>
        <w:ind w:firstLine="720"/>
        <w:jc w:val="both"/>
      </w:pPr>
      <w:r>
        <w:rPr>
          <w:rFonts w:ascii="Times New Roman" w:cs="Times New Roman" w:eastAsia="Times New Roman" w:hAnsi="Times New Roman"/>
          <w:sz w:val="28"/>
          <w:szCs w:val="28"/>
        </w:rPr>
        <w:t xml:space="preserve">Построенная диаграмма приведена на рисунке 1.</w:t>
      </w:r>
    </w:p>
    <w:p>
      <w:pPr>
        <w:spacing w:after="120" w:before="240"/>
        <w:jc w:val="center"/>
      </w:pPr>
      <w:r>
        <w:drawing>
          <wp:inline distT="0" distB="0" distL="0" distR="0">
            <wp:extent cx="5715000" cy="31146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715000" cy="3114675"/>
                    </a:xfrm>
                    <a:prstGeom prst="rect">
                      <a:avLst/>
                    </a:prstGeom>
                  </pic:spPr>
                </pic:pic>
              </a:graphicData>
            </a:graphic>
          </wp:inline>
        </w:drawing>
      </w:r>
    </w:p>
    <w:p>
      <w:pPr>
        <w:spacing w:after="240"/>
        <w:jc w:val="center"/>
      </w:pPr>
      <w:r>
        <w:rPr>
          <w:rFonts w:ascii="Times New Roman" w:cs="Times New Roman" w:eastAsia="Times New Roman" w:hAnsi="Times New Roman"/>
          <w:i/>
          <w:iCs/>
          <w:sz w:val="24"/>
          <w:szCs w:val="24"/>
        </w:rPr>
        <w:t xml:space="preserve">Рисунок 1 — Средний уровень холестерина по диагнозам</w:t>
      </w:r>
    </w:p>
    <w:p>
      <w:pPr>
        <w:spacing w:after="120" w:line="360"/>
        <w:ind w:firstLine="720"/>
        <w:jc w:val="both"/>
      </w:pPr>
      <w:r>
        <w:rPr>
          <w:rFonts w:ascii="Times New Roman" w:cs="Times New Roman" w:eastAsia="Times New Roman" w:hAnsi="Times New Roman"/>
          <w:sz w:val="28"/>
          <w:szCs w:val="28"/>
        </w:rPr>
        <w:t xml:space="preserve">Анализ диаграммы выявляет содержательную закономерность: наиболее высокий средний уровень холестерина наблюдается у пациентов с ишемической болезнью сердца (7,01 ммоль/л) и атеросклерозом (6,71), что соответствует медицинской теории: повышенный холестерин является основным фактором риска для этих заболеваний. Заметно выше нормы (5,2 ммоль/л) показатели и при сахарном диабете (6,11) — что также согласуется с практикой, поскольку диабет часто сопровождается дислипидемией. У здоровых пациентов средний холестерин 4,70 ммоль/л лежит в пределах нормы (3,6–5,2). Таким образом, результат работы программы не только корректен с точки зрения вычислений, но и содержательно осмыслен.</w:t>
      </w:r>
    </w:p>
    <w:p>
      <w:pPr>
        <w:pStyle w:val="Heading2"/>
        <w:spacing w:after="180" w:before="300" w:line="360"/>
      </w:pPr>
      <w:r>
        <w:rPr>
          <w:rFonts w:ascii="Times New Roman" w:cs="Times New Roman" w:eastAsia="Times New Roman" w:hAnsi="Times New Roman"/>
          <w:b/>
          <w:bCs/>
          <w:sz w:val="30"/>
          <w:szCs w:val="30"/>
        </w:rPr>
        <w:t xml:space="preserve">3.8. Запуск программы</w:t>
      </w:r>
    </w:p>
    <w:p>
      <w:pPr>
        <w:spacing w:after="120" w:line="360"/>
        <w:ind w:firstLine="720"/>
        <w:jc w:val="both"/>
      </w:pPr>
      <w:r>
        <w:rPr>
          <w:rFonts w:ascii="Times New Roman" w:cs="Times New Roman" w:eastAsia="Times New Roman" w:hAnsi="Times New Roman"/>
          <w:sz w:val="28"/>
          <w:szCs w:val="28"/>
        </w:rPr>
        <w:t xml:space="preserve">Шаги для запуска:</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Установить Python 3.10+ и проверить версию: python --version;</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Установить зависимости: pip install pandas matplotlib numpy;</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Сгенерировать датасет (если его нет): python generate_medical_exams.py — создаст medical_exams.csv;</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Запустить анализ: python medical_analysis.py;</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В консоли появятся подсчёты, в директории — файл cholesterol_by_diagnosis.png с готовой диаграммой.</w:t>
      </w:r>
    </w:p>
    <w:p>
      <w:pPr>
        <w:pStyle w:val="Heading2"/>
        <w:spacing w:after="180" w:before="300" w:line="360"/>
      </w:pPr>
      <w:r>
        <w:rPr>
          <w:rFonts w:ascii="Times New Roman" w:cs="Times New Roman" w:eastAsia="Times New Roman" w:hAnsi="Times New Roman"/>
          <w:b/>
          <w:bCs/>
          <w:sz w:val="30"/>
          <w:szCs w:val="30"/>
        </w:rPr>
        <w:t xml:space="preserve">3.9. Возможные расширения программы</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Раздельный анализ для мужчин и женщин (groupby по двум колонкам);</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Доверительные интервалы для среднего (seaborn.barplot с ci=95);</w:t>
      </w:r>
    </w:p>
    <w:p>
      <w:pPr>
        <w:pStyle w:val="ListParagraph"/>
        <w:numPr>
          <w:ilvl w:val="0"/>
          <w:numId w:val="2"/>
        </w:numPr>
        <w:spacing w:after="60" w:line="360"/>
        <w:jc w:val="both"/>
      </w:pPr>
      <w:r>
        <w:rPr>
          <w:rFonts w:ascii="Times New Roman" w:cs="Times New Roman" w:eastAsia="Times New Roman" w:hAnsi="Times New Roman"/>
          <w:sz w:val="28"/>
          <w:szCs w:val="28"/>
        </w:rPr>
        <w:t xml:space="preserve">Сравнение распределений холестерина (boxplot вместо bar);</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Корреляция холестерина с возрастом, ИМТ, давлением (scatter plot, heatmap);</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Интерактивная визуализация на plotly.express;</w:t>
      </w:r>
    </w:p>
    <w:p>
      <w:pPr>
        <w:pStyle w:val="ListParagraph"/>
        <w:numPr>
          <w:ilvl w:val="0"/>
          <w:numId w:val="2"/>
        </w:numPr>
        <w:spacing w:after="60" w:line="360"/>
        <w:jc w:val="both"/>
      </w:pPr>
      <w:r>
        <w:rPr>
          <w:rFonts w:ascii="Times New Roman" w:cs="Times New Roman" w:eastAsia="Times New Roman" w:hAnsi="Times New Roman"/>
          <w:sz w:val="28"/>
          <w:szCs w:val="28"/>
        </w:rPr>
        <w:t xml:space="preserve">Прогноз диагноза по показателям обследования (классификация в sklearn).</w:t>
      </w:r>
    </w:p>
    <w:p>
      <w:pPr>
        <w:pStyle w:val="Heading2"/>
        <w:spacing w:after="180" w:before="300" w:line="360"/>
      </w:pPr>
      <w:r>
        <w:rPr>
          <w:rFonts w:ascii="Times New Roman" w:cs="Times New Roman" w:eastAsia="Times New Roman" w:hAnsi="Times New Roman"/>
          <w:b/>
          <w:bCs/>
          <w:sz w:val="30"/>
          <w:szCs w:val="30"/>
        </w:rPr>
        <w:t xml:space="preserve">Выводы по вопросу 3</w:t>
      </w:r>
    </w:p>
    <w:p>
      <w:pPr>
        <w:spacing w:after="120" w:line="360"/>
        <w:ind w:firstLine="720"/>
        <w:jc w:val="both"/>
      </w:pPr>
      <w:r>
        <w:rPr>
          <w:rFonts w:ascii="Times New Roman" w:cs="Times New Roman" w:eastAsia="Times New Roman" w:hAnsi="Times New Roman"/>
          <w:sz w:val="28"/>
          <w:szCs w:val="28"/>
        </w:rPr>
        <w:t xml:space="preserve">Программа на pandas и matplotlib выполнила обе подзадачи. На основе датасета medical_exams.csv (2000 записей с 10 колонками о медицинских обследованиях) подсчитано количество обследований по полу: 914 мужчин и 1086 женщин. Построена столбчатая диаграмма среднего уровня холестерина для каждого из шести диагнозов (Здоров, Гипертония, Диабет, Атеросклероз, Аритмия, ИБС), с цветовой кодировкой столбцов, подписанными осями, заголовком, числовыми подписями над столбцами и полупрозрачной сеткой. Результат содержательно осмыслен: максимальный холестерин у ИБС и атеросклероза, минимальный — у здоровых пациентов, что согласуется с медицинской теорией. Подход легко расширяется до раздельного анализа по полу, корреляционного анализа с другими признаками и переноса на интерактивную визуализацию plotly.</w:t>
      </w:r>
    </w:p>
    <w:sectPr>
      <w:headerReference w:type="default" r:id="rId7"/>
      <w:footerReference w:type="default" r:id="rId8"/>
      <w:pgSz w:w="11906" w:h="16838" w:orient="portrait"/>
      <w:pgMar w:top="1134" w:right="1134" w:bottom="1134" w:left="1701"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2"/>
        <w:szCs w:val="22"/>
      </w:rPr>
      <w:t xml:space="preserve">Стр. </w:t>
      <w:fldChar w:fldCharType="begin"/>
      <w:instrText xml:space="preserve">PAGE</w:instrText>
      <w:fldChar w:fldCharType="separate"/>
      <w:fldChar w:fldCharType="end"/>
      <w:t xml:space="preserve"> из </w:t>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Times New Roman" w:cs="Times New Roman" w:eastAsia="Times New Roman" w:hAnsi="Times New Roman"/>
        <w:i/>
        <w:iCs/>
        <w:sz w:val="22"/>
        <w:szCs w:val="22"/>
      </w:rPr>
      <w:t xml:space="preserve">Билет № 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8"/>
        <w:szCs w:val="2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line="360"/>
      <w:jc w:val="center"/>
      <w:outlineLvl w:val="0"/>
    </w:pPr>
    <w:rPr>
      <w:rFonts w:ascii="Times New Roman" w:cs="Times New Roman" w:eastAsia="Times New Roman" w:hAnsi="Times New Roman"/>
      <w:b/>
      <w:bCs/>
      <w:sz w:val="32"/>
      <w:szCs w:val="32"/>
    </w:rPr>
  </w:style>
  <w:style w:type="paragraph" w:styleId="Heading2">
    <w:name w:val="Heading 2"/>
    <w:basedOn w:val="Normal"/>
    <w:next w:val="Normal"/>
    <w:qFormat/>
    <w:pPr>
      <w:spacing w:after="180" w:before="300" w:line="360"/>
      <w:outlineLvl w:val="1"/>
    </w:pPr>
    <w:rPr>
      <w:rFonts w:ascii="Times New Roman" w:cs="Times New Roman" w:eastAsia="Times New Roman" w:hAnsi="Times New Roman"/>
      <w:b/>
      <w:bCs/>
      <w:sz w:val="30"/>
      <w:szCs w:val="30"/>
    </w:rPr>
  </w:style>
  <w:style w:type="paragraph" w:styleId="Heading3">
    <w:name w:val="Heading 3"/>
    <w:basedOn w:val="Normal"/>
    <w:next w:val="Normal"/>
    <w:qFormat/>
    <w:pPr>
      <w:spacing w:after="120" w:before="240" w:line="360"/>
      <w:outlineLvl w:val="2"/>
    </w:pPr>
    <w:rPr>
      <w:rFonts w:ascii="Times New Roman" w:cs="Times New Roman" w:eastAsia="Times New Roman" w:hAnsi="Times New Roman"/>
      <w:b/>
      <w:bCs/>
      <w:i/>
      <w:i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1b694ea1281ac17ef7ba78b4461776a1916a466f.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2026-05-26T18:21:00.690Z</dcterms:created>
  <dcterms:modified xsi:type="dcterms:W3CDTF">2026-05-26T18:21:00.700Z</dcterms:modified>
</cp:coreProperties>
</file>

<file path=docProps/custom.xml><?xml version="1.0" encoding="utf-8"?>
<Properties xmlns="http://schemas.openxmlformats.org/officeDocument/2006/custom-properties" xmlns:vt="http://schemas.openxmlformats.org/officeDocument/2006/docPropsVTypes"/>
</file>