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10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Принципы работы свёрточной нейронной сети.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Проблемы компьютерной преступности.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Спроектируйте архитектуру согласно нотации C4 для системы управления заказами. Отобразите уровни контекста, контейнеров и компонентов.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Принципы работы свёрточной нейронной сети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Понятие свёрточной нейронной сети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Свёрточная нейронная сеть (Convolutional Neural Network, CNN или ConvNet) — это специальный класс искусственных нейронных сетей, разработанный для обработки данных, имеющих явную пространственную или временную структуру. Чаще всего CNN применяются к двумерным изображениям, но также эффективны для одномерных временных рядов (звук, текст) и трёхмерных данных (видео, медицинские объёмы). От классических полносвязных нейронных сетей CNN отличаются использованием операции свёртки вместо матричного умножения, что обеспечивает три фундаментальных свойства: локальную связность, разделение весов и иерархическое извлечение признаков.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Биологическим прототипом CNN послужили исследования зрительной коры мозга кошек, проведённые лауреатами Нобелевской премии Дэвидом Хьюбелем и Торстеном Визелем в 1959–1968 годах. Они обнаружили, что нейроны зрительной коры реагируют только на стимулы в небольших локальных областях зрительного поля (рецептивные поля), а сложные образы формируются иерархическим объединением простых признаков (линии → углы → формы → объекты). Эти принципы и легли в основу архитектуры CNN.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История развития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Историческое развитие свёрточных сетей кратко представлено в таблице ключевых архитектур: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2200"/>
        <w:gridCol w:w="2700"/>
        <w:gridCol w:w="36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Год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Архитектура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Авторы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Ключевая идея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1989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LeNet-5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Ян ЛеКун (AT&amp;T Bell Labs)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Первая практическая CNN; распознавание рукописных цифр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2012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AlexNet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Крижевский, Суцкевер, Хинтон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ReLU, dropout, GPU-обучение; победа в ImageNet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2014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VGGNet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Visual Geometry Group, Оксфорд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Простая архитектура с маленькими свёртками 3×3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2014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GoogLeNet (Inception)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Google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Inception-модули, параллельные ветви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2015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ResNet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Хе и др. (Microsoft Research)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Остаточные связи (skip connections), сети до 1000 слоёв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2017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DenseNet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Хуанг и др.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Каждый слой связан со всеми последующими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2019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EfficientNet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Google (Тан и Лэ)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Compound scaling — оптимальный баланс глубины/ширины/разрешения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2020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Vision Transformer (ViT)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Google Research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Применение трансформеров к изображениям (заменяет CNN в SOTA)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Революционный момент в истории CNN — 2012 год, когда сеть AlexNet (8 слоёв) под руководством Джеффри Хинтона выиграла соревнование ImageNet ILSVRC-2012, снизив ошибку классификации с 26 % до 16 % и существенно опередив все классические подходы компьютерного зрения. Это событие положило начало эре глубокого обучения. Хинтон, ЛеКун и Бенжио, чьи работы лежат в основе CNN, получили в 2019 году премию Тьюринга — «нобелевскую премию по информатике».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Архитектурные элементы CNN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Типичная свёрточная сеть состоит из последовательности слоёв семи основных типов: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500"/>
        <w:gridCol w:w="34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Слой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Назначение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Ключевые параметры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Свёрточный (Conv2D)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Извлечение пространственных признаков через свёртку с фильтрами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Размер ядра (3×3, 5×5), число фильтров, stride, padding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Активация (ReLU)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Нелинейное преобразование, обнуление отрицательных значений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Применяется поэлементно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Пулинг (Pooling)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Уменьшение размерности, инвариантность к малым сдвигам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Тип (max, average), размер окна (обычно 2×2), stride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Нормализация (BatchNorm)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Стабилизация обучения, ускорение сходимости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Параметры β и γ, скользящее среднее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Дропаут (Dropout)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Регуляризация, борьба с переобучением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Вероятность p (0,2–0,5)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Полносвязный (FC / Dense)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Классификация на основе извлечённых признаков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Число нейронов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Softmax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Преобразование выходов в вероятности классов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Применяется в последнем слое для классификации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Свёрточный слой (Convolutional Layer)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Основной строительный блок CNN. Применяет к входному изображению (или карте признаков предыдущего слоя) набор обучаемых фильтров (kernels). Фильтр — это небольшая матрица весов, обычно размером 3×3 или 5×5 пикселей. Операция свёртки заключается в скользящем перемещении фильтра по входным данным и вычислении скалярного произведения весов фильтра с соответствующими пикселями входа. Результат — карта признаков (feature map), отражающая силу активации данного признака в каждой точке изображения.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Ключевые параметры свёрточного слоя: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Размер ядра (kernel size)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чаще 3×3 (стандарт VGG), реже 5×5, 7×7;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Число фильтров (число каналов на выходе)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от 16–32 в первых слоях до 512–1024 в последних;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(stride)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 сколько пикселей сдвигается фильтр; обычно 1;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Дополнение (padding)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добавление нулевых пикселей по краям, чтобы сохранить размер изображения после свёртки.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Функция активации ReLU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 каждого свёрточного слоя применяется нелинейная функция активации, чаще всего ReLU (Rectified Linear Unit): f(x) = max(0, x). ReLU обнуляет отрицательные значения и пропускает положительные без изменения. Преимущества: вычислительная простота, отсутствие проблемы затухающего градиента (в отличие от сигмоиды), быстрая сходимость. Современные модификации: Leaky ReLU (избегает «мёртвых нейронов»), GELU (используется в трансформерах), Swish.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Слой пулинга (Pooling Layer)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Уменьшает пространственные размеры карт признаков, что снижает количество параметров и обеспечивает устойчивость к малым сдвигам входа. Обычно применяется окно 2×2 с шагом 2, что уменьшает размер карты в 2 раза по каждому измерению. Два основных типа: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Max Pooling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выбирает максимальное значение в окне; самый распространённый;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Average Pooling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усредняет значения в окне; применяется в Global Average Pooling в современных архитектурах.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Слой нормализации (Batch Normalization)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Введён Иоффе и Сегеди (Google) в 2015 году. Нормализует активации внутри каждого мини-батча, что стабилизирует обучение, ускоряет сходимость и снижает чувствительность к начальной инициализации весов. Каждый BN-слой имеет два обучаемых параметра — масштаб (γ) и сдвиг (β).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Dropout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Предложен Хинтоном и др. в 2014 году как регуляризатор. На каждой итерации обучения случайно «выключает» долю нейронов (обычно 20–50 %). Это вынуждает сеть учиться избыточным представлениям и борется с переобучением (overfitting). На стадии инференса dropout отключается.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Полносвязный слой (Fully Connected, FC / Dense)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Финальная часть классической CNN. Карта признаков последнего свёрточного блока «вытягивается» в вектор (flatten) и проходит через несколько полносвязных слоёв, завершающихся слоем с softmax-активацией для классификации на N классов. В современных архитектурах (ResNet, EfficientNet) FC-слои часто заменены на Global Average Pooling, что уменьшает число параметров.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Ключевые принципы CNN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Локальная связность (Local Connectivity)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отличие от полносвязной сети, где каждый нейрон соединён со всеми нейронами предыдущего слоя, в CNN каждый нейрон видит только небольшую локальную область (рецептивное поле). Это резко сокращает число параметров (в полносвязной сети для изображения 224×224×3 первый слой потребовал бы более 150 миллионов весов) и отражает наблюдение, что в изображениях важна именно локальная структура — пиксели, расположенные рядом, связаны между собой.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Разделение весов (Weight Sharing)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Один и тот же фильтр (одно и то же ядро весов) применяется ко всем позициям изображения. Это даёт три важных эффекта: (1) огромное сокращение числа параметров — для свёртки 3×3 с 64 фильтрами на входе с 3 каналами нужно всего 1728 весов независимо от размера изображения; (2) трансляционная эквивариантность — если объект сдвинется по изображению, активация сдвинется соответственно; (3) более эффективное обучение благодаря лучшей обобщающей способности.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Иерархическое извлечение признаков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Глубокая CNN строит иерархию представлений: ранние слои детектируют простые признаки (линии, края, цветовые градиенты), средние слои — текстуры и части объектов (колёса, глаза, окна), глубокие слои — целые объекты и сложные семантические концепции. Это соответствует функциональной организации зрительной коры млекопитающих.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Инвариантность к сдвигу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Благодаря разделению весов и операции пулинга CNN робастна к небольшим сдвигам, поворотам и масштабированию объектов на изображении. Полная инвариантность требует дополнительных техник (data augmentation, spatial transformer networks).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Обучение CNN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CNN обучаются методом обратного распространения ошибки (backpropagation) и стохастического градиентного спуска. Конвейер обучения: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Подготовка размеченных данных (тысячи или миллионы изображений с метками классов);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Аугментация — генерация дополнительных вариаций (повороты, отражения, обрезки, изменение яркости);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Разбиение на батчи (обычно 32–256 изображений);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Прямое распространение (forward pass) — вычисление предсказаний;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Вычисление функции потерь (для классификации — кросс-энтропия);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Обратное распространение (backward pass) — расчёт градиентов через цепное правило;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Обновление весов оптимизатором (SGD с momentum, Adam, AdamW);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Регулярная валидация на отложенной выборке для контроля переобучения.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Современные CNN обучаются на GPU или TPU; обучение типичной модели на ImageNet занимает от часов (с pre-trained весами) до недель (с нуля). Применяется transfer learning — использование сетей, предобученных на больших датасетах, с тонкой настройкой под конкретную задачу.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Применения CNN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Классификация изображений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основная задача (ImageNet, CIFAR);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Детекция объектов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YOLO (You Only Look Once), R-CNN, Faster R-CNN, SSD; определение позиции и класса объектов;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Семантическая сегментация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U-Net (биомедицина), DeepLab, Mask R-CNN; пиксельная разметка;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Распознавание лиц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FaceNet, ArcFace; используется в Face ID, ЕБС, системах видеонаблюдения;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Медицинская визуализация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диагностика по КТ, МРТ, рентгенам, цитологическим снимкам (российские Botkin.AI, Third Opinion);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Беспилотный транспорт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распознавание дорожной разметки, знаков, пешеходов (Tesla Autopilot, Яндекс SDG);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Промышленная инспекция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контроль качества на конвейере;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Стилизация изображений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neural style transfer (Гатис и др., 2015);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Анализ временных рядов и звука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1D-CNN для классификации звуков, ЭКГ;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Генерация изображений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основа GAN, диффузионных моделей (Stable Diffusion, Kandinsky).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Современное состояние и российские разработки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 2020 года Vision Transformers (ViT) от Google вытесняют CNN в задачах, где есть большие данные. Тем не менее CNN остаются основой большинства прикладных систем благодаря эффективности на меньших датасетах и в задачах с ограниченными вычислительными ресурсами (мобильные устройства, edge computing). Современные гибриды (ConvNeXt, MaxViT) сочетают принципы CNN и трансформеров.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Российские исследования и разработки в области CNN: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Сбер: Kandinsky (диффузионные модели на основе CNN-блоков), GigaCode;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Яндекс: YandexART, поисковая система по изображениям;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Skoltech, ИТМО, МФТИ — академические исследования;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Cognitive Pilot — CNN для систем беспилотного транспорта;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Botkin.AI, Third Opinion — медицинский ИИ на CNN;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VisionLabs — биометрия и распознавание лиц.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Свёрточная нейронная сеть (CNN) — специализированная нейронная сеть для обработки данных с пространственной структурой, основанная на трёх ключевых принципах: локальной связности, разделении весов и иерархическом извлечении признаков. Биологический прототип — зрительная кора, изученная Хьюбелем и Визелем (1959–1968). Историческое развитие: LeNet ЛеКуна (1989), революционный AlexNet (2012), VGG, GoogLeNet, ResNet, EfficientNet, ViT (2020). Архитектурные элементы: свёрточные слои с фильтрами, ReLU-активация, пулинг (max/average), batch normalization, dropout, полносвязные слои с softmax. Обучение методом обратного распространения с оптимизаторами SGD/Adam на GPU. Применения охватывают весь спектр компьютерного зрения: классификация, детекция (YOLO), сегментация (U-Net), распознавание лиц, медицинская диагностика, беспилотный транспорт, генерация изображений. В России CNN развиваются в Сбере, Яндексе, Skoltech, ИТМО, Cognitive Pilot, Botkin.AI, VisionLabs.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Проблемы компьютерной преступности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Понятие компьютерной преступности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Компьютерная преступность (cybercrime, киберпреступность) — это совокупность общественно опасных деяний, совершаемых с использованием компьютерной техники, сетей передачи данных, информационных систем либо направленных против них. В отличие от традиционной преступности, компьютерные преступления имеют ряд специфических черт: высокая латентность, трансграничный характер, анонимность преступника, низкая раскрываемость, постоянная эволюция методов атаки в ответ на средства защиты, использование криптовалют для отмывания доходов.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Первые компьютерные преступления зафиксированы в 1970-е годы — кражи компьютерного времени, манипуляции с банковскими расчётами. С развитием интернета в 1990-е годы и распространением мобильных устройств в 2010-е масштабы киберпреступности выросли экспоненциально. По оценке Cybersecurity Ventures, мировой ущерб от киберпреступности достиг 9,5 трлн долларов в 2024 году — больше, чем глобальный наркотрафик. В России по данным МВД за 2024 год зарегистрировано более 700 000 ИТ-преступлений (более 40 % всех преступлений в стране), общий ущерб превысил 200 млрд рублей.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Классификация компьютерных преступлений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Существует несколько взаимодополняющих классификаций компьютерных преступлений. В таблице ниже представлены основные категории с примерами: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Категория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6"/>
                <w:szCs w:val="26"/>
              </w:rPr>
              <w:t xml:space="preserve">Конкретные виды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Несанкционированный доступ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Взлом учётных записей, эксплуатация уязвимостей, brute force, фишинг для кражи паролей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Вредоносное ПО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Вирусы, трояны, черви, шпионское ПО, кейлоггеры, ransomware (шифровальщики)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Атаки доступности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DDoS-атаки (распределённый отказ в обслуживании), DNS-флуд, ботнеты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Веб-атаки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SQL-инъекции, XSS, CSRF, обход аутентификации, эксплуатация уязвимостей CMS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Фрод и мошенничество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Кардинг, банковский фрод, фальшивые интернет-магазины, B2B мошенничество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Социальная инженерия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Фишинг, вишинг (телефонный), смишинг (SMS), целевой spear-phishing, претекстинг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Кража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Утечки персональных данных, корпоративные шпионские атаки, кража интеллектуальной собственности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Атаки на цепочки поставок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Supply chain attacks (SolarWinds, 3CX, XZ Utils backdoor)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Государственные атаки (APT)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Шпионаж, саботаж критической инфраструктуры (Stuxnet, NotPetya, BlackEnergy)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Эксплуатация 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Дипфейки для мошенничества, генерация вредоносного кода через LLM, состязательные атаки на ML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Криптопреступления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Криптоджекинг, отмывание через миксеры, мошенничество с DeFi и NFT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Киберсталкинг и буллинг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Преследование, doxxing, кибербуллинг, угрозы и шантаж в сети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 объекту преступления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Преступления против компьютерной информации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объектом является сама информация, программы, данные; компьютер — средство нападения (взлом, заражение вирусом);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Преступления, совершаемые с помощью компьютера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объект — традиционные блага (имущество, честь, личная неприкосновенность); компьютер — инструмент (мошенничество, клевета через интернет);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Преступления, совершаемые в особой компьютерной среде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 виртуальных мирах, метавселенных; новейшая категория, регулирование которой ещё формируется.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 мотиву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Корыстные (фрод, ransomware, кардинг);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Хулиганские (defacement сайтов, vandal-hacking);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Идеологические (хактивизм — Anonymous, Lizard Squad);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Государственные / разведывательные (APT-группировки);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Терроризм (кибератаки на критическую инфраструктуру).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Известные крупные инциденты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Stuxnet (2010).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Червь, поразивший центрифуги Натанзского завода по обогащению урана в Иране; считается первой государственной кибератакой на промышленную инфраструктуру (приписывается США и Израилю);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Equifax (2017).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Утечка персональных данных 147 миллионов человек из американского бюро кредитных историй; компания выплатила штраф 575 млн долларов;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WannaCry (2017).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Глобальная эпидемия шифровальщика; пострадали более 200 000 компьютеров в 150 странах; ущерб ~4 млрд долларов; жертвы — британская NHS, Renault, FedEx, в России — МВД, Мегафон;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NotPetya (2017).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Атака под видом шифровальщика, на самом деле — wiper (уничтожитель данных); распространялась через украинскую бухгалтерскую программу M.E.Doc; ущерб 10 млрд долларов (Maersk, Merck, ФедЭкс);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SolarWinds (2020).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Атака на цепочку поставок: внедрение бэкдора в обновления ПО SolarWinds Orion; пострадали 18 000 организаций, включая правительственные агентства США; приписывается APT29 (Cozy Bear);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Colonial Pipeline (2021).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Ransomware-атака на крупнейший трубопровод в США; компания заплатила 4,4 млн долларов; вызвало топливный кризис на восточном побережье;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 России — атаки 2022–2024 годов.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Многочисленные атаки на государственные и коммерческие ресурсы: Госуслуги, RuTube, Сбер, ВТБ, российские министерства. Создан НКЦКИ для координации защиты КИИ;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Дипфейк-мошенничество в Гонконге (2024).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Финансовый сотрудник перевёл 25 млн долларов после видеоконференции с «руководством» — все участники оказались дипфейками.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Особенности и проблемы борьбы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Трансграничный характер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Преступник в одной стране, жертва — в другой, серверы атаки — в третьей, отмывание денег — в четвёртой. Это создаёт колоссальные сложности для правоохранительных органов: разные юрисдикции, разные правовые системы, разная скорость обработки запросов, проблемы экстрадиции. Будапештская конвенция Совета Европы о киберпреступности (2001) — главный международный документ; ратифицирована 70+ странами, но не Россией и не Китаем. Среди ключевых проблем: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Длительность международных запросов (месяцы);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Различия в составах преступлений между странами;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«убежищных» юрисдикций (страны с слабым ИТ-законодательством);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Геополитические напряжения, мешающие сотрудничеству.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Анонимность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Преступники используют технологии анонимизации: сеть Tor (The Onion Router), VPN-сервисы, прокси-каскады, анонимные хостинги (bulletproof hosting), одноразовые учётки. Доказать причастность конкретного человека к преступлению чрезвычайно сложно. Криптовалюты (биткойн, монеро) обеспечивают полу-анонимные платежи; монеро спроектирован специально для приватности и активно используется в выкупах ransomware.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Эволюция методов атак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Преступники постоянно совершенствуют техники в гонке с защитниками. Только за 2023–2024 годы наблюдались следующие тренды: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Ransomware-as-a-Service (RaaS) — модель «преступление как услуга»;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Двойное вымогательство — шифрование + угроза публикации данных;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LLM для генерации фишинга и вредоносного кода;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Атаки на API и облачную инфраструктуру;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Атаки через цепочки поставок ПО (XZ Utils backdoor 2024 — почти удалось внедрить бэкдор в открытую библиотеку);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Атаки на устройства IoT (умные дома, медицинская техника).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Низкая раскрываемость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 данным МВД РФ, раскрываемость ИТ-преступлений составляет менее 25 % (для классических преступлений — около 50–60 %). Основные причины: недостаточная подготовка следователей в области цифровой криминалистики; нехватка экспертов; сложности с доказательной базой; быстрая «летучесть» цифровых следов; нехватка ресурсов в региональных подразделениях.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Дефицит специалистов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 данным (ISC)² 2023 года, в мире не хватает около 4 миллионов специалистов по информационной безопасности. В России дефицит оценивается в 100 000+ человек. Эта нехватка касается как защищающих компаний, так и правоохранительных органов; преступная сторона же активно вербует квалифицированные кадры через теневые форумы.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Правовое регулирование в РФ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Уголовный кодекс РФ содержит главу 28 «Преступления в сфере компьютерной информации» (введена в 1996 году, неоднократно дополнялась):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272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Неправомерный доступ к компьютерной информации (до 7 лет лишения свободы);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273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Создание, использование и распространение вредоносных компьютерных программ (до 7 лет);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274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Нарушение правил эксплуатации средств хранения, обработки или передачи компьютерной информации;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Ст. 274.1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Неправомерное воздействие на критическую информационную инфраструктуру Российской Федерации (до 10 лет, с учётом тяжести).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Кроме того, релевантные статьи в других разделах УК: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Ст. 159.6 — Мошенничество в сфере компьютерной информации;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Ст. 137 — Нарушение неприкосновенности частной жизни;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Ст. 138 — Нарушение тайны переписки;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Ст. 187 — Неправомерный оборот средств платежей.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Сопутствующие законы: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ФЗ-149 «Об информации, ИТ и о защите информации» (2006);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ФЗ-152 «О персональных данных» (2006);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ФЗ-187 «О безопасности КИИ» (2017);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ФСТЭК и ФСБ — регулирование средств защиты;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НКЦКИ — национальный координационный центр по компьютерным инцидентам.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Меры противодействия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Технические меры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Антивирусы и EDR-системы (Endpoint Detection and Response);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SIEM-системы агрегации событий безопасности (Splunk, Kaspersky Unified Monitoring);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Межсетевые экраны нового поколения (NGFW);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Системы обнаружения вторжений (IDS/IPS);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Сегментация сети, принцип Zero Trust;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Многофакторная аутентификация (MFA);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Шифрование данных в покое и при передаче;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Регулярные резервные копии (3-2-1 правило).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Организационные меры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Политики информационной безопасности;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Обучение сотрудников (anti-phishing тренинги);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Аудит безопасности и пентесты;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Bug bounty программы (поиск уязвимостей с вознаграждением);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Реагирование на инциденты (CSIRT — Computer Security Incident Response Team);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Резервные планы и DRP (Disaster Recovery Plan).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Правоохранительные меры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«К» МВД РФ;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Центр информационной безопасности ФСБ;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НКЦКИ для критической инфраструктуры;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Международное сотрудничество (Interpol Cybercrime Directorate);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Совместные операции по ликвидации ботнетов (Emotet, REvil).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Компьютерная преступность — общественно опасные деяния, совершаемые с использованием компьютерной техники или направленные против неё. Глобальный ущерб достиг 9,5 трлн долларов в 2024 году; в России — более 700 000 зарегистрированных ИТ-преступлений (40 % всех преступлений) с ущербом более 200 млрд рублей. Классификация по 12 основным категориям: несанкционированный доступ, вредоносное ПО, атаки доступности, веб-атаки, фрод, социальная инженерия, кража данных, атаки на цепочки поставок, APT, эксплуатация ИИ, криптопреступления, киберсталкинг. Известные крупные инциденты — Stuxnet (2010), WannaCry и NotPetya (2017), SolarWinds (2020), Colonial Pipeline (2021), XZ Utils (2024). Ключевые проблемы борьбы: трансграничный характер, анонимность (Tor, криптовалюты), эволюция методов, низкая раскрываемость (менее 25 %), дефицит специалистов (100 000+ в РФ). Правовое регулирование в РФ — глава 28 УК РФ (ст. 272–274.1), ФЗ-149, ФЗ-152, ФЗ-187. Противодействие требует комплексных мер: технических (EDR, SIEM, MFA, Zero Trust), организационных (политики, обучение, пентесты, bug bounty) и правоохранительных (Управление «К», НКЦКИ, международное сотрудничество).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Архитектура системы управления заказами в нотации C4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О нотации C4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Нотация C4 (Context, Containers, Components, Code) — иерархический подход к визуализации архитектуры программных систем, предложенный Саймоном Брауном в 2018 году. C4 представляет систему в виде набора связанных диаграмм четырёх уровней детализации, аналогично топографическим картам разного масштаба. Главная цель — обеспечить разные аудитории (от топ-менеджмента до разработчиков) подходящим уровнем детализации, не перегружая их излишней информацией.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Четыре уровня детализации: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Уровень 1 — Контекст (System Context).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Общий взгляд: какие пользователи и внешние системы взаимодействуют с проектируемой системой;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Уровень 2 — Контейнеры (Containers).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Из чего состоит система: отдельно развёртываемые приложения, базы данных, очереди сообщений;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Уровень 3 — Компоненты (Components).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Внутреннее устройство одного контейнера;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Уровень 4 — Код (Code).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Самый детальный уровень — классы и интерфейсы; обычно генерируется автоматически.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данном решении построены первые три уровня — Context, Containers и Components — что соответствует стандартному требованию большинства производственных задач.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Предметная область: система управления заказами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Система управления заказами (Order Management System, OMS) — это программный комплекс, автоматизирующий весь жизненный цикл заказа: от размещения клиентом до доставки и оплаты. OMS является ядром любого e-commerce-решения и интегрируется с каталогом товаров, складом, доставкой, платежами, бухгалтерией. Типичные примеры систем: 1С-Битрикс, RetailCRM, Insales, GetCourse, корпоративные OMS Wildberries, Ozon, СберМаркет.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Функциональные требования к проектируемой системе: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Каталог товаров с поиском, фильтрацией, категоризацией;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Корзина и оформление заказа клиентом;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Расчёт стоимости с учётом скидок, налогов, доставки;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Приём оплаты через платёжные шлюзы;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Управление складскими остатками и резервированием;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Маршрутизация и контроль доставки;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Уведомления клиентов о статусе заказа;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Интеграция с 1С, маркетплейсами Wildberries и Ozon;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Аналитика продаж и отчётность.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Уровень 1 — Контекст системы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уровне контекста система отображается единым «чёрным ящиком» и показывается её взаимодействие с пользователями (актёрами) и внешними системами. Эта диаграмма предназначена для топ-менеджмента, заказчиков и нетехнических заинтересованных сторон.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Идентифицированы четыре категории пользователей: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Клиент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конечный покупатель: просматривает каталог, оформляет заказы, оплачивает, отслеживает доставку;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Менеджер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сотрудник колл-центра или отдела продаж: обрабатывает заказы, обрабатывает возвраты, консультирует клиентов;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Курьер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осуществляет доставку заказов клиентам, отмечает статус через мобильное приложение;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Кладовщик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комплектует заказы на складе, управляет остатками, работает через терминал.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Внешние системы, с которыми взаимодействует OMS: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Платёжный шлюз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(ЮKassa, СберPay) — приём электронных платежей;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Email / SMS-сервисы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(SMTP, МТС) — уведомления клиентам о статусе заказа;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1С / ERP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корпоративная учётная система для бухгалтерии и налогов;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Службы доставки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(СДЭК, Boxberry, Почта России) — отправка курьерских заказов;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Маркетплейсы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(Wildberries, Ozon, Яндекс Маркет) — синхронизация остатков и заказов с внешних площадок.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Диаграмма уровня 1 представлена на рисунке 1.</w:t>
      </w:r>
    </w:p>
    <w:p>
      <w:pPr>
        <w:spacing w:after="120" w:before="240"/>
        <w:jc w:val="center"/>
      </w:pPr>
      <w:r>
        <w:drawing>
          <wp:inline distT="0" distB="0" distL="0" distR="0">
            <wp:extent cx="5715000" cy="33337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Уровень 1 (Context): контекст системы управления заказами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Уровень 2 — Контейнеры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уровне контейнеров «чёрный ящик» системы раскрывается: показываются все отдельно развёртываемые единицы — клиентские приложения, API-шлюз, микросервисы бизнес-логики, базы данных, кэши, очереди сообщений, файловые хранилища. Каждый контейнер сопровождается указанием технологии реализации.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проектируемой OMS выделены следующие контейнеры: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Клиентские приложения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Интернет-магазин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(React, SPA) — основное приложение для покупателей в браузере;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Мобильное приложение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(iOS / Android) — приложение для клиентов и курьеров;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Админ-панель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(Vue 3) — для менеджеров и администраторов;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Терминал склада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(PWA) — мобильное приложение для кладовщиков со сканированием штрих-кодов.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Шлюз API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API Gateway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(Kong / Nginx) — единая точка входа всех клиентских запросов; маршрутизация, аутентификация, rate limiting, поддержка REST и WebSocket.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Микросервисы бизнес-логики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аутентификации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(Spring Boot) — регистрация, авторизация, JWT-токены, MFA;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каталога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(Spring Boot) — карточки товаров, категории, фильтры, поиск;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корзины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(Node.js) — управление корзиной покупателя, хранение в Redis;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заказов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(Spring Boot) — оформление, статусы, история заказов;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платежей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(Go) — интеграция с платёжными шлюзами, контроль возвратов;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склада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(Spring Boot) — остатки, резервирование, инвентаризация;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доставки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(Python) — расчёт стоимости и сроков, передача в курьерские службы;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уведомлений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(Python) — email, SMS, push-уведомления о статусе заказа;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аналитики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(ClickHouse + Python) — отчёты, дашборды, KPI;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Сервис интеграций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синхронизация с 1С и маркетплейсами.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Хранилища данных и инфраструктура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PostgreSQL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основная реляционная БД (заказы, клиенты, каталог);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Redis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корзины, кэш, сессии;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S3 / MinIO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объектное хранилище фото товаров и документов;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Apache Kafka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брокер сообщений для асинхронного обмена событиями (новый заказ, оплата, отгрузка);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ClickHouse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колоночная БД для аналитики;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Elasticsearch + Kibana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полнотекстовый поиск по каталогу и централизованные логи.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Диаграмма уровня 2 представлена на рисунке 2.</w:t>
      </w:r>
    </w:p>
    <w:p>
      <w:pPr>
        <w:spacing w:after="120" w:before="240"/>
        <w:jc w:val="center"/>
      </w:pPr>
      <w:r>
        <w:drawing>
          <wp:inline distT="0" distB="0" distL="0" distR="0">
            <wp:extent cx="5905500" cy="37338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2 — Уровень 2 (Containers): контейнеры системы управления заказами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Уровень 3 — Компоненты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уровне компонентов раскрывается внутреннее устройство одного из контейнеров. Для иллюстрации выбран ключевой бизнес-контейнер — сервис заказов (Order Service), реализованный на Spring Boot. Внутри него выделяются типовые слои многоуровневой архитектуры: фильтры безопасности, контроллеры, сервисы, репозитории и адаптеры внешних взаимодействий.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Компоненты сервиса заказов: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AuthFilter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фильтр в цепочке Spring Security, проверяющий JWT-токен на каждом входящем запросе. При невалидном токене — 401 Unauthorized;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OrderController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REST-контроллер CRUD-операций над заказами (POST /orders, GET /orders/{id}, PATCH /orders/{id}/status);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OrderHistoryController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REST-контроллер истории заказов клиента (GET /orders?user=...);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OrderService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ядро бизнес-логики: оркестрирует создание заказа, координирует вызовы PriceCalculator, InventoryClient и публикацию событий в Kafka;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PriceCalculator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расчёт итоговой стоимости с учётом скидок, налогов, бонусных баллов, стоимости доставки;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OrderRepository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слой доступа к данным через JPA / Hibernate; работает с PostgreSQL;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EventPublisher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адаптер публикации доменных событий в Kafka («заказ создан», «заказ оплачен», «заказ доставлен»);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InventoryClient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клиент для синхронных вызовов к сервису склада (проверка наличия, резервирование товара).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Диаграмма уровня 3 представлена на рисунке 3.</w:t>
      </w:r>
    </w:p>
    <w:p>
      <w:pPr>
        <w:spacing w:after="120" w:before="240"/>
        <w:jc w:val="center"/>
      </w:pPr>
      <w:r>
        <w:drawing>
          <wp:inline distT="0" distB="0" distL="0" distR="0">
            <wp:extent cx="5715000" cy="31146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3 — Уровень 3 (Components): компоненты сервиса заказов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Технология построения диаграмм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Все три диаграммы построены программно — Python-скриптом generate_c4_orders.py, использующим библиотеку cairosvg для конвертации SVG в PNG. Подход аналогичен использованному для C4-диаграмм системы дистанционного обучения (билет 4): функции box(), arrow(), boundary() формируют SVG-элементы по координатам, после чего cairosvg создаёт растровое изображение. Преимущества подхода: воспроизводимость, удобство версионирования через git, лёгкость внесения изменений. Альтернативные инструменты: Structurizr (онлайн-сервис автора нотации), PlantUML с расширением C4-PlantUML, draw.io, российская Yandex Wiki, BPMSoft.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воспроизведения диаграмм у себя достаточно установить cairosvg и запустить скрипт: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pip install cairosvg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python generate_c4_orders.py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выходе создаются 6 файлов: три SVG (векторных) и три PNG (растровых) для уровней Context, Containers и Components.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Архитектура системы управления заказами (OMS) спроектирована в соответствии с нотацией C4 Саймона Брауна на трёх требуемых уровнях. На уровне 1 (Context) система представлена в окружении четырёх категорий пользователей (клиент, менеджер, курьер, кладовщик) и пяти внешних систем (платёжный шлюз, email/SMS, 1С/ERP, службы доставки, маркетплейсы). На уровне 2 (Containers) система раскрыта как набор из четырёх клиентских приложений, API Gateway, десяти микросервисов бизнес-логики и шести инфраструктурных контейнеров (PostgreSQL, Redis, S3/MinIO, Kafka, ClickHouse, Elasticsearch). На уровне 3 (Components) детализировано внутреннее устройство ключевого сервиса заказов: восемь компонентов в слоях AuthFilter → Controllers → OrderService/PriceCalculator → Repository/EventPublisher/InventoryClient. Диаграммы построены воспроизводимым программным способом через SVG и Python-библиотеку cairosvg, что обеспечивает их версионируемость и автоматизируемость сопровождения по мере развития системы.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a4174534ef372317a8c5990fb0a6e53d021f9cb2.png"/><Relationship Id="rId10" Type="http://schemas.openxmlformats.org/officeDocument/2006/relationships/image" Target="media/c02df9e0d17b7ffb769cfa5abbc9ce6353889c85.png"/><Relationship Id="rId11" Type="http://schemas.openxmlformats.org/officeDocument/2006/relationships/image" Target="media/6b1b10329f6b04a1e3040d3fa08237e96130a079.png"/><Relationship Id="rId12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2026-05-26T18:48:26.574Z</dcterms:created>
  <dcterms:modified xsi:type="dcterms:W3CDTF">2026-05-26T18:48:26.586Z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