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0" w:before="1200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Министерство цифрового развития, связи и массовых коммуникаций</w:t>
      </w:r>
    </w:p>
    <w:p>
      <w:pPr>
        <w:spacing w:after="200"/>
        <w:jc w:val="center"/>
      </w:pPr>
      <w:r>
        <w:rPr>
          <w:rFonts w:ascii="Times New Roman" w:cs="Times New Roman" w:eastAsia="Times New Roman" w:hAnsi="Times New Roman"/>
          <w:b/>
          <w:bCs/>
          <w:sz w:val="24"/>
          <w:szCs w:val="24"/>
        </w:rPr>
        <w:t xml:space="preserve">Российской Федерации</w:t>
      </w:r>
    </w:p>
    <w:p>
      <w:pPr>
        <w:spacing w:after="200"/>
        <w:jc w:val="center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ФГБОУ ВО «Сибирский государственный университет телекоммуникаций и информатики»</w:t>
      </w:r>
    </w:p>
    <w:p>
      <w:pPr>
        <w:spacing w:after="1000"/>
        <w:jc w:val="center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Уральский технический институт связи и информатики (УрТИСИ СибГУТИ)</w:t>
      </w:r>
    </w:p>
    <w:p>
      <w:pPr>
        <w:spacing w:after="200"/>
        <w:jc w:val="center"/>
      </w:pPr>
      <w:r>
        <w:rPr>
          <w:rFonts w:ascii="Times New Roman" w:cs="Times New Roman" w:eastAsia="Times New Roman" w:hAnsi="Times New Roman"/>
          <w:b/>
          <w:bCs/>
          <w:sz w:val="36"/>
          <w:szCs w:val="36"/>
        </w:rPr>
        <w:t xml:space="preserve">ОТВЕТЫ НА ЭКЗАМЕНАЦИОННЫЙ БИЛЕТ № 11</w:t>
      </w:r>
    </w:p>
    <w:p>
      <w:pPr>
        <w:spacing w:after="400"/>
        <w:jc w:val="center"/>
      </w:pPr>
      <w:r>
        <w:rPr>
          <w:rFonts w:ascii="Times New Roman" w:cs="Times New Roman" w:eastAsia="Times New Roman" w:hAnsi="Times New Roman"/>
          <w:i/>
          <w:iCs/>
          <w:sz w:val="26"/>
          <w:szCs w:val="26"/>
        </w:rPr>
        <w:t xml:space="preserve">Итоговый государственный междисциплинарный экзамен</w:t>
      </w:r>
    </w:p>
    <w:p>
      <w:pPr>
        <w:spacing w:after="200"/>
        <w:jc w:val="center"/>
      </w:pPr>
      <w:r>
        <w:rPr>
          <w:rFonts w:ascii="Times New Roman" w:cs="Times New Roman" w:eastAsia="Times New Roman" w:hAnsi="Times New Roman"/>
          <w:sz w:val="26"/>
          <w:szCs w:val="26"/>
        </w:rPr>
        <w:t xml:space="preserve">Направление подготовки 09.04.01 «Информатика и вычислительная техника»</w:t>
      </w:r>
    </w:p>
    <w:p>
      <w:pPr>
        <w:spacing w:after="800"/>
        <w:jc w:val="center"/>
      </w:pPr>
      <w:r>
        <w:rPr>
          <w:rFonts w:ascii="Times New Roman" w:cs="Times New Roman" w:eastAsia="Times New Roman" w:hAnsi="Times New Roman"/>
          <w:sz w:val="26"/>
          <w:szCs w:val="26"/>
        </w:rPr>
        <w:t xml:space="preserve">Профиль: «Инженерия программного обеспечения и информационных систем»</w:t>
      </w:r>
    </w:p>
    <w:p>
      <w:pPr>
        <w:spacing w:after="240" w:before="600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Вопросы билета:</w:t>
      </w:r>
    </w:p>
    <w:p>
      <w:pPr>
        <w:spacing w:after="12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1. Чем отличаются Ridge и Lasso регрессии?</w:t>
      </w:r>
    </w:p>
    <w:p>
      <w:pPr>
        <w:spacing w:after="12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2. Объясните принципы работы и применения технологий REST, gRPC и GraphQL в распределённых системах.</w:t>
      </w:r>
    </w:p>
    <w:p>
      <w:pPr>
        <w:spacing w:after="12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3. Загрузите датасет medical_exams.csv с помощью pandas и посчитайте количество обследований для мужчин и женщин. Постройте тепловую карту корреляций между числовыми признаками age, cholesterol, glucose.</w:t>
      </w:r>
    </w:p>
    <w:p>
      <w:r>
        <w:br w:type="page"/>
      </w:r>
    </w:p>
    <w:p>
      <w:pPr>
        <w:pStyle w:val="Heading1"/>
        <w:spacing w:after="240" w:before="360" w:line="360"/>
        <w:jc w:val="center"/>
      </w:pPr>
      <w:r>
        <w:rPr>
          <w:rFonts w:ascii="Times New Roman" w:cs="Times New Roman" w:eastAsia="Times New Roman" w:hAnsi="Times New Roman"/>
          <w:b/>
          <w:bCs/>
          <w:sz w:val="32"/>
          <w:szCs w:val="32"/>
        </w:rPr>
        <w:t xml:space="preserve">Вопрос 1. Отличия Ridge и Lasso регрессий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1.1. Контекст: регуляризация в линейной регрессии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Ridge и Lasso — две родственные техники регуляризованной линейной регрессии, предназначенные для борьбы с двумя классическими проблемами обычного метода наименьших квадратов (МНК, Ordinary Least Squares — OLS): переобучением и мультиколлинеарностью признаков. В обычной линейной регрессии модель ищет коэффициенты β, минимизирующие сумму квадратов ошибок: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5F5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L(β) = Σ (yᵢ - X·β)²    →    min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Проблемы возникают, когда: (а) число признаков велико по сравнению с числом наблюдений (p близко к n или p &gt; n) — модель легко переобучается; (б) признаки сильно скоррелированы между собой (мультиколлинеарность) — матрица XᵀX становится плохо обусловленной, коэффициенты получаются неустойчивыми с большим разбросом. Решение в обоих случаях — добавить в функцию потерь штрафной член, ограничивающий величины коэффициентов. Именно по виду этого штрафа Ridge и Lasso различаются.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1.2. Ridge регрессия (L2-регуляризация)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Ridge регрессия (от англ. ridge — гребень) предложена статистиками Артуром Хёрлом и Робертом Кеннардом в 1970 году в работе «Ridge Regression: Biased Estimation for Nonorthogonal Problems». В функцию потерь добавляется штраф, пропорциональный сумме квадратов коэффициентов (L2-норма):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5F5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L_Ridge(β) = Σ (yᵢ - X·β)² + λ·Σ βⱼ²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Здесь λ — гиперпараметр регуляризации (обычно подбирается перекрёстной проверкой): при λ = 0 получается обычный МНК, при λ → ∞ все коэффициенты стремятся к нулю. Ridge имеет аналитическое решение через модифицированную нормальную систему уравнений: β = (XᵀX + λI)⁻¹ · Xᵀy. Главное свойство — все коэффициенты уменьшаются по абсолютной величине, но ни один не обнуляется. Это делает Ridge подходящим инструментом, когда все признаки потенциально полезны и не требуется их отбирать.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1.3. Lasso регрессия (L1-регуляризация)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Lasso (Least Absolute Shrinkage and Selection Operator) предложена Робертом Тибширани в 1996 году. В функцию потерь добавляется штраф, пропорциональный сумме абсолютных значений коэффициентов (L1-норма):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5F5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L_Lasso(β) = Σ (yᵢ - X·β)² + λ·Σ |βⱼ|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 отличие от Ridge, Lasso не имеет аналитического решения и требует численных методов (coordinate descent, LARS). Ключевое свойство — Lasso обнуляет коэффициенты при незначимых признаках, выполняя таким образом одновременно регрессию и отбор признаков (feature selection). Геометрическая интерпретация: контурные линии штрафа в Ridge — это окружности, а в Lasso — ромбы (в двумерном случае). Острые углы ромба, попадающие на оси координат, и обеспечивают эффект «обнуления» части коэффициентов в точке оптимума.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Полученная Lasso-модель называется разреженной (sparse): часть коэффициентов точно равна нулю, что соответствует исключению этих признаков из модели. Это особенно ценно в задачах с большим числом признаков (геномика, текстовая классификация, рекомендательные системы), где важно выделить наиболее информативные.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1.4. Сравнительная таблица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Сводное сравнение двух методов представлено в таблице: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600"/>
        <w:gridCol w:w="3380"/>
        <w:gridCol w:w="3380"/>
      </w:tblGrid>
      <w:tr>
        <w:trPr>
          <w:tblHeader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Характеристика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Ridge (L2)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4"/>
                <w:szCs w:val="24"/>
              </w:rPr>
              <w:t xml:space="preserve">Lasso (L1)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Штраф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Сумма квадратов коэффициентов: λ·Σβᵢ²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Сумма модулей коэффициентов: λ·Σ|βᵢ|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Уменьшение коэффициентов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Сжимает все, но не до нуля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Может обнулять малозначимые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Отбор признаков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Не выполняет (sparse=false)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Выполняет автоматически (sparse=true)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Геометрия штрафа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Окружность (n-мерный шар)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Ромб (n-мерный октаэдр)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Стабильность при мультиколлинеарности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Высокая — распределяет вес между скоррелированными признаками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Может произвольно выбрать один из коррелированных, обнулив остальные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Вычисление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Аналитическое решение существует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Только численные методы (coordinate descent)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Чувствительность к выбросам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Меньше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Больше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Когда применять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Все признаки потенциально полезны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Много признаков, часть из них нерелевантна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Год публикации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Хёрл, Кеннард — 1970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Тибширани — 1996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Реализация в sklearn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sklearn.linear_model.Ridge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100"/>
              <w:bottom w:type="dxa" w:w="70"/>
              <w:right w:type="dxa" w:w="10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2"/>
                <w:szCs w:val="22"/>
              </w:rPr>
              <w:t xml:space="preserve">sklearn.linear_model.Lasso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1.5. Гибрид: Elastic Net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Элементы Ridge и Lasso можно сочетать. Elastic Net (Цзоу и Хасти, 2005) использует комбинацию обоих штрафов: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5F5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L_ElasticNet(β) = Σ (yᵢ - X·β)² + λ·(α·Σ |βⱼ| + (1-α)·Σ βⱼ²)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Гиперпараметр α ∈ [0, 1] управляет балансом между L1 и L2: α=1 — чистый Lasso, α=0 — чистый Ridge. Elastic Net сохраняет преимущество Lasso (отбор признаков) и при этом устойчиво обращается со скоррелированными признаками — выбирает не одного «победителя», а группу, как Ridge.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1.6. Геометрическая интерпретация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Оба метода эквивалентны задаче условной оптимизации: минимизировать МНК-функционал при ограничении на норму коэффициентов. Различие — в форме области допустимых значений. В двумерном случае (два признака) Ridge ограничивает решение кругом β₁² + β₂² ≤ t, а Lasso — ромбом |β₁| + |β₂| ≤ t. Эллипсы линий уровня функционала МНК пересекаются с этими областями в точке оптимума. У ромба острые углы лежат на осях, и эллипс с высокой вероятностью пересекает его именно в этих углах — что соответствует обнулению одной из переменных. У круга нет таких особых точек, и обнуление почти невозможно.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1.7. Применение и реализация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 библиотеке scikit-learn оба метода реализованы как: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5F5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from sklearn.linear_model import Ridge, Lasso, ElasticNet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Ridge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ridge = Ridge(alpha=1.0)        # параметр alpha = λ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ridge.fit(X_train, y_train)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Lasso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lasso = Lasso(alpha=0.1)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lasso.fit(X_train, y_train)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print("Обнулённых коэффициентов:", (lasso.coef_ == 0).sum())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Elastic Net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elastic = ElasticNet(alpha=0.1, l1_ratio=0.5)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elastic.fit(X_train, y_train)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Перед применением обоих методов признаки следует стандартизовать (StandardScaler), так как штраф зависит от масштаба. Оптимальное λ обычно подбирается через RidgeCV / LassoCV с перекрёстной проверкой по сетке значений.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Примеры реальных задач: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Биология и геномика — Lasso для отбора генов-маркеров из десятков тысяч измерений;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Финансы и кредитный скоринг — Ridge для стабильной оценки факторов риска;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Маркетинг — Lasso для отбора каналов рекламы при анализе атрибуции;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Эконометрика — Ridge для оценки моделей с временными рядами и мультиколлинеарностью;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Анализ медицинских данных — Elastic Net для прогноза заболеваний по множеству анализов.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Выводы по вопросу 1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Ridge (Хёрл, Кеннард, 1970) и Lasso (Тибширани, 1996) — две техники регуляризации линейной регрессии, добавляющие штраф к функции потерь МНК для борьбы с переобучением и мультиколлинеарностью. Ridge использует L2-штраф (сумму квадратов коэффициентов): уменьшает все коэффициенты, не обнуляя их, имеет аналитическое решение через (XᵀX + λI)⁻¹·Xᵀy, устойчив к скоррелированным признакам. Lasso использует L1-штраф (сумму модулей): обнуляет малозначимые коэффициенты, тем самым автоматически выбирая признаки, требует численных методов оптимизации, может произвольно выбирать одного из коррелированных. Гибрид Elastic Net (Цзоу, Хасти, 2005) сочетает оба штрафа. Выбор метода: Ridge — когда все признаки потенциально важны; Lasso — при большом числе признаков с подозрением, что часть из них нерелевантны; Elastic Net — компромисс для коррелированных групп. Все три реализованы в sklearn.linear_model с подбором λ через CV-варианты.</w:t>
      </w:r>
    </w:p>
    <w:p>
      <w:r>
        <w:br w:type="page"/>
      </w:r>
    </w:p>
    <w:p>
      <w:pPr>
        <w:pStyle w:val="Heading1"/>
        <w:spacing w:after="240" w:before="360" w:line="360"/>
        <w:jc w:val="center"/>
      </w:pPr>
      <w:r>
        <w:rPr>
          <w:rFonts w:ascii="Times New Roman" w:cs="Times New Roman" w:eastAsia="Times New Roman" w:hAnsi="Times New Roman"/>
          <w:b/>
          <w:bCs/>
          <w:sz w:val="32"/>
          <w:szCs w:val="32"/>
        </w:rPr>
        <w:t xml:space="preserve">Вопрос 2. REST, gRPC, GraphQL в распределённых системах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2.1. Контекст: межсервисное взаимодействие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 распределённых системах (особенно в микросервисных архитектурах) межсервисное взаимодействие — критически важный аспект, влияющий на производительность, надёжность и удобство разработки. Разработаны три ключевых подхода к организации API: REST как самый распространённый, gRPC как наиболее производительный и GraphQL как наиболее гибкий с точки зрения клиента. Каждый из них решает разные группы задач и имеет свою сферу применимости. В современных системах часто используются несколько подходов одновременно — например, REST для публичного API, gRPC для внутренних межсервисных вызовов и GraphQL для мобильных и веб-клиентов.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2.2. REST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Определение и принципы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REST (Representational State Transfer) — архитектурный стиль для построения сетевых приложений, описанный Роем Филдингом в его докторской диссертации «Architectural Styles and the Design of Network-based Software Architectures» (2000). Важно отметить, что REST — не протокол и не стандарт, а набор принципов, который можно реализовывать поверх любого транспорта (чаще всего HTTP). Шесть архитектурных ограничений REST: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Клиент-сервер (Client-Server).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Чёткое разделение пользовательского интерфейса от хранения данных и бизнес-логики;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Безсостоятельность (Stateless).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Каждый запрос должен содержать всю информацию, необходимую для его обработки; сервер не хранит состояния клиента;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Кэшируемость (Cacheable).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Ответы должны явно помечаться как кэшируемые или нет (заголовки Cache-Control, ETag);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Единый интерфейс (Uniform Interface).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Стандартные HTTP-методы (GET, POST, PUT, PATCH, DELETE), URI как идентификаторы ресурсов, стандартные коды состояний;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Многоуровневая система (Layered System).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Клиент не знает, общается ли он непосредственно с сервером или через промежуточный слой (proxy, CDN, load balancer);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Код по требованию (Code on Demand).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Опциональный принцип — возможность скачать и выполнить код на клиенте (JavaScript).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Технические особенности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REST поверх HTTP использует: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Стандартные HTTP-методы: GET (чтение), POST (создание), PUT (полное обновление), PATCH (частичное обновление), DELETE (удаление);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URI как идентификатор ресурса: /users/42/orders/100, /products?category=books&amp;page=2;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HTTP-коды ответа: 200 OK, 201 Created, 204 No Content, 400 Bad Request, 401 Unauthorized, 403 Forbidden, 404 Not Found, 500 Internal Server Error;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JSON как формат данных (исторически также XML);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Заголовки для контроля кэша, аутентификации (Bearer JWT), версионирования (Accept: application/vnd.api.v2+json).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Применение REST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REST доминирует в публичных API: API Telegram, Instagram, Twitter (X), Госуслуг, ЮKassa, СберPay, СДЭК — все строятся на REST. Используется и для внутренних коммуникаций, особенно в Spring Boot, Express.js, Django REST Framework, FastAPI. Стандарт спецификации публичных REST API — OpenAPI 3.0 (бывший Swagger), позволяющий генерировать документацию и клиентские SDK на десятках языков.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2.3. gRPC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Определение и происхождение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gRPC (gRPC Remote Procedure Call) — высокопроизводительный фреймворк для удалённого вызова процедур, разработанный Google и опубликованный как open source в 2015 году. Это эволюция внутренней системы Google под названием Stubby, которой компания пользовалась более 15 лет до этого. gRPC построен поверх HTTP/2 и использует Protocol Buffers (Protobuf) — компактный бинарный формат сериализации, также разработанный Google. Сегодня gRPC применяется в большинстве микросервисных архитектур больших компаний: Netflix, Spotify, Lyft, Square, Dropbox, в России — Сбер, Яндекс, Тинькофф.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Принцип работы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Разработчик начинает с определения сервиса в .proto-файле: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5F5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syntax = "proto3";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package userservice;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service UserService {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rpc GetUser (UserRequest) returns (UserResponse);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rpc ListUsers (Empty) returns (stream UserResponse);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rpc CreateUsers (stream UserRequest) returns (Empty);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}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message UserRequest {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int64 id = 1;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}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message UserResponse {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int64 id = 1;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string name = 2;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string email = 3;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}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Из этого файла компилятор protoc генерирует клиентский и серверный код на нужном языке (поддерживаются C++, Java, Go, Python, Ruby, Node.js, C#, PHP, и др.). Разработчик пишет реализацию серверных методов, а клиент вызывает их как обычные локальные функции — gRPC прозрачно сериализует параметры, передаёт по сети и десериализует результат.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Четыре типа вызовов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Унарный (Unary).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Один запрос — один ответ, аналог классического REST-вызова;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Серверный стриминг (Server streaming).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Один запрос — поток ответов (например, подписка на обновления);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Клиентский стриминг (Client streaming).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Поток запросов — один ответ (например, загрузка файла по частям);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Двунаправленный стриминг (Bidirectional).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Потоки в обе стороны (чаты, многопользовательские игры, биржевые котировки).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Преимущества gRPC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Высокая производительность — бинарный Protobuf в 3–10 раз компактнее JSON;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Низкая латентность — HTTP/2 с мультиплексированием, бинарное сжатие заголовков;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Чёткий контракт через .proto-файл с обязательной типизацией;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Автогенерация клиентского кода на десятке языков;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Встроенный стриминг (без WebSocket и SSE);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Встроенные механизмы аутентификации (TLS, токены), таймаутов, отмены, мониторинга.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Недостатки и ограничения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Слабая поддержка браузерами — нужен gRPC-Web и прокси;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Бинарный формат — трудно отлаживать вручную (нельзя «открыть в браузере»);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Кэширование на уровне HTTP сложнее, чем у REST;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Более высокий порог входа для разработчиков;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Версионирование контрактов требует дисциплины (правила Protobuf по добавлению полей).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Применение gRPC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Основная сфера — межсервисные вызовы во внутренних микросервисных архитектурах: высокие требования к производительности, контроль над клиентом и сервером, отсутствие необходимости в работе с браузером. Также используется в IoT-устройствах, мобильных приложениях, real-time системах. Российские компании активно применяют: Яндекс (внутренние сервисы), Сбер (часть микросервисной инфраструктуры), Тинькофф.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2.4. GraphQL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Определение и происхождение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GraphQL — язык запросов для API и среда исполнения запросов, разработанная Facebook в 2012 году для решения проблем перегрузки мобильных клиентов данными и опубликованная как открытая спецификация в 2015 году. Сегодня GraphQL используется в GitHub API v4, Shopify, Twitch, Twitter, Airbnb; в России — Яндекс, ВК, Тинькофф. Управление спецификацией передано фонду GraphQL Foundation (под эгидой Linux Foundation).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Принцип работы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GraphQL имеет одну точку входа (обычно POST /graphql) и позволяет клиенту описать в запросе, какие именно поля каких объектов ему нужны: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5F5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Запрос клиента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query {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user(id: 42) {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name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email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orders(last: 5) {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id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total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items {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product { name }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quantity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}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}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}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}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Ответ сервера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{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"data": {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"user": {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"name": "Иван Иванов",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"email": "ivan@example.com",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"orders": [...]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}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}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}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На стороне сервера разработчик описывает схему типов (Schema Definition Language, SDL) и реализует функции-резолверы (resolvers), которые знают, как извлечь конкретное поле каждого типа. Сервер сам анализирует запрос, вызывает нужные резолверы и собирает ответ.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Преимущества GraphQL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Решение проблемы over-fetching/under-fetching.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Клиент запрашивает ровно те поля, что ему нужны: ни больше, ни меньше. Это особенно важно для мобильных приложений с ограниченным трафиком;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Один эндпоинт.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Вместо десятков REST-endpoints (/users, /users/42/orders, /products) — одна точка входа /graphql;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Сильная типизация и интроспекция.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Любой клиент может запросить схему и получить полное описание доступных типов и полей;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Объединение данных из нескольких источников.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GraphQL-сервер может агрегировать данные из разных микросервисов и БД в одном ответе;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Версионирование не требуется.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Новые поля добавляются без breaking changes; устаревшие помечаются @deprecated.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Недостатки и ограничения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Сложность кэширования — все запросы идут через один POST-эндпоинт;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Сложность проектирования резолверов — легко создать N+1-проблему (нужны DataLoader);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Сложные запросы могут быть дорогими — нужны ограничения по глубине и сложности;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Бинарные данные передаются через base64 (как и в REST/JSON);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Кривая обучения выше, чем у REST.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Применение GraphQL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Основная сфера — клиент-серверное взаимодействие, где у клиентов разные потребности в данных. Идеально для мобильных приложений и сложных веб-интерфейсов. GitHub полностью построил API v4 на GraphQL. Подход «Federated GraphQL» (Apollo Federation) позволяет строить распределённый граф на основе нескольких микросервисов.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2.5. Сравнительная таблица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100"/>
        <w:gridCol w:w="2400"/>
        <w:gridCol w:w="2400"/>
        <w:gridCol w:w="2460"/>
      </w:tblGrid>
      <w:tr>
        <w:trPr>
          <w:tblHeader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Аспект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REST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gRPC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D9E2F3" w:val="clear"/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pPr>
              <w:jc w:val="center"/>
            </w:pPr>
            <w:r>
              <w:rPr>
                <w:rFonts w:ascii="Times New Roman" w:cs="Times New Roman" w:eastAsia="Times New Roman" w:hAnsi="Times New Roman"/>
                <w:b/>
                <w:bCs/>
                <w:sz w:val="22"/>
                <w:szCs w:val="22"/>
              </w:rPr>
              <w:t xml:space="preserve">GraphQL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Год / автор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2000, Рой Филдинг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2015, Google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2012 (открыт 2015), Facebook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Тип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Архитектурный стиль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RPC-фреймворк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Язык запросов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Транспорт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HTTP/1.1, HTTP/2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HTTP/2 (обязательно)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HTTP (обычно POST)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Формат данных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JSON (часто), XML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Protocol Buffers (бинарный)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JSON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Схема / контракт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OpenAPI / Swagger (опционально)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.proto-файлы (обязательно)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GraphQL Schema (обязательно)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Производительность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Средняя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Высокая (бинарный, HTTP/2)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Зависит от запроса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Стриминг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SSE, WebSocket (отдельно)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Встроенный (4 типа)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Subscriptions через WS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Поддержка браузерами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Полная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Через gRPC-Web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Полная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Кэширование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Встроенное через HTTP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Сложное (бинарный)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Сложное (одна точка входа)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Эндпоинты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Множество URL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RPC-методы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Один URL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Over-fetching / Under-fetching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Возможно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Возможно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Решается полностью</w:t>
            </w:r>
          </w:p>
        </w:tc>
      </w:tr>
      <w:tr>
        <w:trPr>
          <w:tblHeader w:val="false"/>
        </w:trPr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Применение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Публичные API, веб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Микросервисы, низкая латентность</w:t>
            </w:r>
          </w:p>
        </w:tc>
        <w:tc>
          <w:tcPr>
            <w:tcW w:type="dxa" w:w="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70"/>
              <w:left w:type="dxa" w:w="90"/>
              <w:bottom w:type="dxa" w:w="70"/>
              <w:right w:type="dxa" w:w="90"/>
            </w:tcMar>
          </w:tcPr>
          <w:p>
            <w:pPr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Сложные клиенты с разными нуждами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2.6. Выбор технологии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На практике в современных распределённых системах часто используются все три подхода в разных слоях: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REST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для публичного API (внешние клиенты, партнёры) и простых внутренних сервисов;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gRPC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для внутренних межсервисных вызовов с высокой нагрузкой и низкой латентностью;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GraphQL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для богатых клиентов (мобильные приложения, SPA), особенно когда экраны требуют данных из множества источников;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WebSocket / SSE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для двусторонней связи реального времени (чаты, нотификации) в дополнение к любому из трёх;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Message Queue (Kafka, RabbitMQ)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для асинхронной коммуникации, событийного взаимодействия.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Например, в архитектуре крупного интернет-магазина: мобильное приложение использует GraphQL для гибких запросов; публичное API для маркетплейс-партнёров — REST; внутренние микросервисы (заказы → склад → платежи) — gRPC; уведомления клиентам — WebSocket; синхронизация остатков — Kafka.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Выводы по вопросу 2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REST, gRPC и GraphQL — три ключевые технологии межсервисного взаимодействия в распределённых системах, разработанные для разных классов задач. REST (Филдинг, 2000) — архитектурный стиль поверх HTTP с шестью принципами (stateless, кэшируемость, единый интерфейс и др.), стандарт публичных API; данные обычно в JSON. gRPC (Google, 2015) — высокопроизводительный RPC-фреймворк на базе HTTP/2 и Protocol Buffers с автогенерацией кода для десятков языков и четырьмя типами вызовов (unary, server/client/bidirectional streaming); идеален для внутренних микросервисов с низкой латентностью. GraphQL (Facebook, 2012/2015) — язык запросов с одним эндпоинтом, позволяющий клиенту запрашивать ровно нужные данные, решая проблему over/under-fetching; идеален для мобильных и сложных веб-клиентов. На практике в современных системах три подхода применяются совместно в разных слоях архитектуры: REST для публичных API, gRPC для внутренних коммуникаций, GraphQL для богатых клиентов.</w:t>
      </w:r>
    </w:p>
    <w:p>
      <w:r>
        <w:br w:type="page"/>
      </w:r>
    </w:p>
    <w:p>
      <w:pPr>
        <w:pStyle w:val="Heading1"/>
        <w:spacing w:after="240" w:before="360" w:line="360"/>
        <w:jc w:val="center"/>
      </w:pPr>
      <w:r>
        <w:rPr>
          <w:rFonts w:ascii="Times New Roman" w:cs="Times New Roman" w:eastAsia="Times New Roman" w:hAnsi="Times New Roman"/>
          <w:b/>
          <w:bCs/>
          <w:sz w:val="32"/>
          <w:szCs w:val="32"/>
        </w:rPr>
        <w:t xml:space="preserve">Вопрос 3. Анализ датасета medical_exams.csv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3.1. Постановка задачи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Требуется выполнить две подзадачи: (1) загрузить датасет medical_exams.csv средствами pandas и подсчитать количество медицинских обследований для мужчин и женщин отдельно; (2) построить тепловую карту (heatmap) корреляций Пирсона между тремя числовыми признаками — age (возраст), cholesterol (уровень холестерина) и glucose (уровень глюкозы) — с подписанными осями и заголовком.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3.2. Что и как делаем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Решение задачи распадается на пять логических шагов: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Шаг 1. Загрузка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датасета medical_exams.csv в pandas.DataFrame с использованием pd.read_csv();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Шаг 2. Очистка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данных от пропусков в ключевых колонках (gender, age, cholesterol, glucose);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Шаг 3. Подсчёт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количества обследований по полу методом value_counts();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Шаг 4. Расчёт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корреляционной матрицы Пирсона методом corr() для трёх числовых признаков;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Шаг 5. Построение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тепловой карты средствами matplotlib.imshow() с цветовой шкалой, числовыми подписями в клетках, заголовком и подписями осей.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3.3. Что необходимо установить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Требуется Python 3.10+ и три библиотеки. Установка одной командой: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5F5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pip install pandas matplotlib numpy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Назначение библиотек: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pandas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DataFrame, агрегации, метод corr() для построения корреляционной матрицы;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matplotlib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построение тепловой карты через imshow() с цветовой палитрой и colorbar;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numpy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используется внутри pandas для числовых операций.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Альтернатива — библиотека seaborn (pip install seaborn) с её функцией seaborn.heatmap, упрощающей построение тепловой карты. В данном решении использован базовый matplotlib для минимизации зависимостей.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3.4. Структура датасета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Датасет medical_exams.csv (использован тот же, что в билете 8) содержит 2000 записей с десятью колонками: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id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идентификатор обследования;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gender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пол пациента (M / F);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age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возраст, лет;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height, weight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рост (см) и вес (кг);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systolic_bp, diastolic_bp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систолическое и диастолическое АД (мм рт. ст.);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cholesterol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уровень общего холестерина (ммоль/л);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glucose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уровень глюкозы натощак (ммоль/л);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diagnosis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диагноз (категория).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Для решения задачи требуются только четыре колонки: gender — для подсчёта обследований по полу, и age, cholesterol, glucose — для построения корреляционной матрицы. Сам датасет генерируется отдельным скриптом generate_medical_exams.py с фиксированным seed = 42 (воспроизводимость).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3.5. Полный исходный код (medical_heatmap.py)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5F5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-*- coding: utf-8 -*-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"""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Анализ датасета medical_exams.csv: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1) подсчёт количества обследований для мужчин и женщин отдельно;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2) тепловая карта корреляций между признаками age, cholesterol, glucose.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Запуск: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pip install pandas matplotlib numpy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python medical_heatmap.py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"""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import pandas as pd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import matplotlib.pyplot as plt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---------- Шаг 1. Загрузка датасета ----------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df = pd.read_csv("medical_exams.csv")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print("Размер таблицы:", df.shape)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---------- Шаг 2. Очистка данных ----------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df = df.dropna(subset=["gender", "age", "cholesterol", "glucose"])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---------- Шаг 3. Количество обследований по полу ----------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gender_counts = df["gender"].value_counts()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print("\n=== Количество обследований по полу ===")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print(f"Мужчины (M): {gender_counts.get('M', 0)}")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print(f"Женщины (F): {gender_counts.get('F', 0)}")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print(f"Всего:       {len(df)}")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---------- Шаг 4. Корреляционная матрица ----------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numeric_cols = ["age", "cholesterol", "glucose"]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corr_matrix = df[numeric_cols].corr()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print("\n=== Корреляционная матрица ===")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print(corr_matrix.round(3).to_string())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---------- Шаг 5. Тепловая карта ----------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fig, ax = plt.subplots(figsize=(8, 6))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im = ax.imshow(corr_matrix.values, cmap="RdBu_r",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vmin=-1, vmax=1, aspect="auto")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ax.set_xticks(range(len(numeric_cols)))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ax.set_yticks(range(len(numeric_cols)))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ax.set_xticklabels(numeric_cols, rotation=0, fontsize=12)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ax.set_yticklabels(numeric_cols, fontsize=12)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# Числовые значения в клетках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for i in range(len(numeric_cols)):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for j in range(len(numeric_cols)):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v = corr_matrix.values[i, j]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color = "white" if abs(v) &gt; 0.5 else "black"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ax.text(j, i, f"{v:.3f}", ha="center", va="center",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 color=color, fontsize=14, fontweight="bold")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ax.set_title("Матрица корреляций числовых признаков\n"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"(age, cholesterol, glucose)",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fontsize=14, fontweight="bold", pad=15)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ax.set_xlabel("Признак", fontsize=12)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ax.set_ylabel("Признак", fontsize=12)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cbar = fig.colorbar(im, ax=ax, fraction=0.046, pad=0.04)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cbar.set_label("Коэффициент корреляции Пирсона", fontsize=11)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plt.tight_layout()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plt.savefig("medical_heatmap.png", dpi=150)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plt.show()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3.6. Результаты работы программы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Подсчёт обследований по полу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Реальный запуск программы на сгенерированном датасете даёт следующие результаты: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5F5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=== Количество обследований по полу ===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Мужчины (M): 914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Женщины (F): 1086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Всего:       2000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Распределение по полу — 45,7 % мужчин и 54,3 % женщин — соответствует реалистичной практике, при которой женщины несколько чаще проходят плановые медицинские обследования.</w:t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Корреляционная матрица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Расчёт корреляций Пирсона между age, cholesterol и glucose дал: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F5F5F5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=== Корреляционная матрица ===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               age  cholesterol  glucose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age          1.000        0.164    0.052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cholesterol  0.164        1.000    0.384</w:t>
            </w:r>
          </w:p>
          <w:p>
            <w:pPr>
              <w:spacing w:after="0" w:line="280"/>
              <w:jc w:val="left"/>
            </w:pPr>
            <w:r>
              <w:rPr>
                <w:rFonts w:ascii="Consolas" w:cs="Consolas" w:eastAsia="Consolas" w:hAnsi="Consolas"/>
                <w:sz w:val="22"/>
                <w:szCs w:val="22"/>
              </w:rPr>
              <w:t xml:space="preserve">glucose      0.052        0.384    1.000</w:t>
            </w:r>
          </w:p>
        </w:tc>
      </w:tr>
    </w:tbl>
    <w:p>
      <w:pPr>
        <w:spacing w:after="120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/>
      </w:r>
    </w:p>
    <w:p>
      <w:pPr>
        <w:pStyle w:val="Heading3"/>
        <w:spacing w:after="120" w:before="240" w:line="360"/>
      </w:pPr>
      <w:r>
        <w:rPr>
          <w:rFonts w:ascii="Times New Roman" w:cs="Times New Roman" w:eastAsia="Times New Roman" w:hAnsi="Times New Roman"/>
          <w:b/>
          <w:bCs/>
          <w:i/>
          <w:iCs/>
          <w:sz w:val="28"/>
          <w:szCs w:val="28"/>
        </w:rPr>
        <w:t xml:space="preserve">Тепловая карта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Построенная тепловая карта представлена на рисунке 1.</w:t>
      </w:r>
    </w:p>
    <w:p>
      <w:pPr>
        <w:spacing w:after="120" w:before="240"/>
        <w:jc w:val="center"/>
      </w:pPr>
      <w:r>
        <w:drawing>
          <wp:inline distT="0" distB="0" distL="0" distR="0">
            <wp:extent cx="4762500" cy="3571875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40"/>
        <w:jc w:val="center"/>
      </w:pPr>
      <w:r>
        <w:rPr>
          <w:rFonts w:ascii="Times New Roman" w:cs="Times New Roman" w:eastAsia="Times New Roman" w:hAnsi="Times New Roman"/>
          <w:i/>
          <w:iCs/>
          <w:sz w:val="24"/>
          <w:szCs w:val="24"/>
        </w:rPr>
        <w:t xml:space="preserve">Рисунок 1 — Тепловая карта корреляций age, cholesterol, glucose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3.7. Содержательная интерпретация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Полученная матрица корреляций позволяет сделать содержательные выводы: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cholesterol ↔ glucose = 0,384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умеренная положительная корреляция. Это согласуется с клинической практикой: повышенные холестерин и глюкоза часто встречаются вместе у пациентов с метаболическим синдромом, преддиабетом и диабетом II типа. Этот синдром характеризуется одновременным нарушением липидного (холестерин) и углеводного (глюкоза) обменов;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age ↔ cholesterol = 0,164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слабая положительная корреляция. Известный медицинский факт: с возрастом уровень общего холестерина у людей в среднем возрастает за счёт замедления метаболизма и изменений в работе печени. Однако корреляция не сильная — на уровень холестерина влияет множество других факторов (диета, наследственность, физическая активность);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age ↔ glucose = 0,052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— практически отсутствующая линейная корреляция. Уровень глюкозы натощак у здоровых людей слабо зависит от возраста; диабет II типа чаще встречается у пожилых, но в общей выборке этот эффект «размывается» здоровыми пожилыми пациентами.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Цветовая палитра RdBu_r (от красного для +1 через белый для 0 до синего для −1) делает визуально очевидной структуру: главная диагональ — насыщенно-красная (тривиальные единицы), наиболее сильная корреляция cholesterol↔glucose — заметно красноватая, а age↔glucose — практически белый, отражая отсутствие связи.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3.8. Возможные расширения программы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Анализ корреляций отдельно для мужчин и женщин (с группировкой по gender);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Корреляции Спирмена для нелинейных зависимостей (df.corr(method="spearman"));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Pairplot с гистограммами на диагонали и scatter-plots в недиагональных клетках (seaborn.pairplot);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Регрессионная диагностика — линии регрессии в scatter plots;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Группировка по диагнозу для оценки корреляций в каждой группе;</w:t>
      </w:r>
    </w:p>
    <w:p>
      <w:pPr>
        <w:pStyle w:val="ListParagraph"/>
        <w:numPr>
          <w:ilvl w:val="0"/>
          <w:numId w:val="2"/>
        </w:numPr>
        <w:spacing w:after="60" w:line="36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Интерактивная тепловая карта через plotly.express.imshow.</w:t>
      </w:r>
    </w:p>
    <w:p>
      <w:pPr>
        <w:pStyle w:val="Heading2"/>
        <w:spacing w:after="180" w:before="300" w:line="360"/>
      </w:pPr>
      <w:r>
        <w:rPr>
          <w:rFonts w:ascii="Times New Roman" w:cs="Times New Roman" w:eastAsia="Times New Roman" w:hAnsi="Times New Roman"/>
          <w:b/>
          <w:bCs/>
          <w:sz w:val="30"/>
          <w:szCs w:val="30"/>
        </w:rPr>
        <w:t xml:space="preserve">Выводы по вопросу 3</w:t>
      </w:r>
    </w:p>
    <w:p>
      <w:pPr>
        <w:spacing w:after="120" w:line="360"/>
        <w:ind w:firstLine="720"/>
        <w:jc w:val="both"/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Программа на pandas и matplotlib выполнила обе подзадачи. На датасете medical_exams.csv (2000 медицинских обследований) подсчитано количество по полу: 914 мужчин и 1086 женщин (соответствует распределению 45,7 % / 54,3 %). Построена тепловая карта корреляций Пирсона между тремя числовыми признаками — age, cholesterol, glucose — с цветовой кодировкой RdBu_r, числовыми подписями в клетках, заголовком и подписями осей. Анализ матрицы выявил содержательные закономерности: умеренная корреляция cholesterol ↔ glucose (0,384) — связана через метаболический синдром; слабая age ↔ cholesterol (0,164) — клинически известный возрастной рост холестерина; практически отсутствующая age ↔ glucose (0,052). Результат корректен с вычислительной точки зрения и осмыслен с точки зрения медицинской теории.</w:t>
      </w:r>
    </w:p>
    <w:sectPr>
      <w:headerReference w:type="default" r:id="rId7"/>
      <w:footerReference w:type="default" r:id="rId8"/>
      <w:pgSz w:w="11906" w:h="16838" w:orient="portrait"/>
      <w:pgMar w:top="1134" w:right="1134" w:bottom="1134" w:left="1701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Times New Roman" w:cs="Times New Roman" w:eastAsia="Times New Roman" w:hAnsi="Times New Roman"/>
        <w:sz w:val="22"/>
        <w:szCs w:val="22"/>
      </w:rPr>
      <w:t xml:space="preserve">Стр. </w:t>
      <w:fldChar w:fldCharType="begin"/>
      <w:instrText xml:space="preserve">PAGE</w:instrText>
      <w:fldChar w:fldCharType="separate"/>
      <w:fldChar w:fldCharType="end"/>
      <w:t xml:space="preserve"> из </w:t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Times New Roman" w:cs="Times New Roman" w:eastAsia="Times New Roman" w:hAnsi="Times New Roman"/>
        <w:i/>
        <w:iCs/>
        <w:sz w:val="22"/>
        <w:szCs w:val="22"/>
      </w:rPr>
      <w:t xml:space="preserve">Билет № 11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8"/>
        <w:szCs w:val="28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 w:line="360"/>
      <w:jc w:val="center"/>
      <w:outlineLvl w:val="0"/>
    </w:pPr>
    <w:rPr>
      <w:rFonts w:ascii="Times New Roman" w:cs="Times New Roman" w:eastAsia="Times New Roman" w:hAnsi="Times New Roman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300" w:line="360"/>
      <w:outlineLvl w:val="1"/>
    </w:pPr>
    <w:rPr>
      <w:rFonts w:ascii="Times New Roman" w:cs="Times New Roman" w:eastAsia="Times New Roman" w:hAnsi="Times New Roman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spacing w:after="120" w:before="240" w:line="360"/>
      <w:outlineLvl w:val="2"/>
    </w:pPr>
    <w:rPr>
      <w:rFonts w:ascii="Times New Roman" w:cs="Times New Roman" w:eastAsia="Times New Roman" w:hAnsi="Times New Roman"/>
      <w:b/>
      <w:bCs/>
      <w:i/>
      <w:iCs/>
      <w:sz w:val="28"/>
      <w:szCs w:val="28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3085c04a394201f1ff207d0bb8c8ac0973735d30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2026-05-26T18:59:32.410Z</dcterms:created>
  <dcterms:modified xsi:type="dcterms:W3CDTF">2026-05-26T18:59:32.410Z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