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1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Министерство цифрового развития, связи и массовых коммуникаций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Российской Федерации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ФГБОУ ВО «Сибирский государственный университет телекоммуникаций и информатики»</w:t>
      </w:r>
    </w:p>
    <w:p>
      <w:pPr>
        <w:spacing w:after="10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Уральский технический институт связи и информатики (УрТИСИ СибГУТИ)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36"/>
          <w:szCs w:val="36"/>
        </w:rPr>
        <w:t xml:space="preserve">ОТВЕТЫ НА ЭКЗАМЕНАЦИОННЫЙ БИЛЕТ № 17</w:t>
      </w:r>
    </w:p>
    <w:p>
      <w:pPr>
        <w:spacing w:after="400"/>
        <w:jc w:val="center"/>
      </w:pPr>
      <w:r>
        <w:rPr>
          <w:rFonts w:ascii="Times New Roman" w:cs="Times New Roman" w:eastAsia="Times New Roman" w:hAnsi="Times New Roman"/>
          <w:i/>
          <w:iCs/>
          <w:sz w:val="26"/>
          <w:szCs w:val="26"/>
        </w:rPr>
        <w:t xml:space="preserve">Итоговый государственный междисциплинарный экзамен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Направление подготовки 09.04.01 «Информатика и вычислительная техника»</w:t>
      </w:r>
    </w:p>
    <w:p>
      <w:pPr>
        <w:spacing w:after="8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Профиль: «Инженерия программного обеспечения и информационных систем»</w:t>
      </w:r>
    </w:p>
    <w:p>
      <w:pPr>
        <w:spacing w:after="240" w:before="600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Вопросы билета: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1. Информационные технологии защиты информации.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2. Проблемы моделирования.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3. Разработать диаграмму вариантов использования и диаграмму деятельности для системы «Изготовление шкафа-купе на заказ».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1. Информационные технологии защиты информации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1.1. Понятие и классификация технологий защиты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Информационные технологии защиты информации (ИТЗИ) — это совокупность программных, аппаратных и программно-аппаратных средств, методов и регламентов, обеспечивающих защиту информации от неправомерного доступа, разглашения, искажения, уничтожения, а также от иных несанкционированных воздействий. ИТЗИ — прикладная инженерная дисциплина, в которой реализуются принципы информационной безопасности (CIA-триада: конфиденциальность, целостность, доступность), описанные в Доктрине ИБ РФ и стандартах серии ISO/IEC 27000.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Современный комплекс ИТЗИ строится по принципу глубоко эшелонированной обороны (defense in depth): нет одной «волшебной» технологии, обеспечивающей полную защиту; вместо этого используется множество взаимодополняющих рубежей. Если злоумышленник преодолевает один — следующий должен его остановить или хотя бы зафиксировать.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1.2. Сводный обзор технологий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таблице ниже представлены ключевые категории ИТЗИ с конкретными технологиями и примерами реализаций — преимущественно российскими, что отражает курс на технологический суверенитет, а также международными аналогами: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700"/>
        <w:gridCol w:w="1900"/>
        <w:gridCol w:w="2200"/>
        <w:gridCol w:w="35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Категория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Технология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Назначение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Примеры (российские/зарубежные)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Криптография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Симметричное шифрование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Защита конфиденциальности данных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AES, ГОСТ Кузнечик (Р 34.12-2015), Магма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Асимметричное шифрование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Шифрование и ЭЦП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RSA, ECC, ГОСТ Р 34.10-2012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Хэш-функции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Целостность; ЭЦП; хранение паролей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SHA-256, SHA-3, ГОСТ Р 34.11-2012 «Стрибог»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Аутентификация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MFA / 2FA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Многофакторный вход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OTP, Push, биометрия (Face ID, ЕБС)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Аппаратные токены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Хранение ключей и сертификатов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РуToken, JaCarta, YubiKey, FIDO2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PKI и сертификаты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Цифровые удостоверения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УЦ ФНС, Минцифры, КриптоПро УЦ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 доступа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IAM (Identity Access Management)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Управление учётками и правами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Keycloak, ALD Pro (Astra), Indeed AM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RBAC / ABAC / Zero Trust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Модели разграничения доступа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Реализуются на уровне ОС, СУБД, приложений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Защита периметра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Межсетевые экраны NGFW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Фильтрация трафика, DPI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UserGate, Континент 4, ViPNet, Check Point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WAF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Защита веб-приложений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PT AF, BI.ZONE WAF, ModSecurity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IDS / IPS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Обнаружение и предотвращение атак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Kaspersky SDDC, Suricata, Snort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VPN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Защищённый удалённый доступ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ViPNet Client, КриптоПро IPsec, OpenVPN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Защита хостов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Антивирусы и EDR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Защита от вредоносного ПО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Kaspersky, Dr.Web, СёрчИнформ EDR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HIDS (host IDS)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Мониторинг событий ОС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Wazuh, OSSEC, Ankey IDM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Защита от утечек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DLP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 исходящего трафика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InfoWatch, SearchInform, Solar Dozor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Мониторинг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SIEM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Сбор и анализ событий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MaxPatrol SIEM, Kaspersky UM, RuSIEM, SOC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Защита данных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Шифрование БД (TDE)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Прозрачное шифрование на диске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PostgreSQL pgcrypto, MS SQL TDE, Oracle TDE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Маскирование / анонимизация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Защита тестовых сред и обезличивание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Static и dynamic masking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Безопасная разработка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SAST / DAST / IAST / SCA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Анализ кода и зависимостей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PT Application Inspector, SVACE, Solar AppScreener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Резервирование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Backup (правило 3-2-1)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Восстановление после инцидентов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Veeam, RuBackup, Кибер Бэкап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1.3. Криптографические технологии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Криптография — математический фундамент защиты информации. В российской практике обязательны к применению ГОСТ-алгоритмы (СКЗИ с сертификатом ФСБ):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Симметричное шифрование.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ГОСТ Р 34.12-2015 «Кузнечик» (блок 128 бит, ключ 256 бит) и «Магма» (блок 64 бит, ключ 256 бит); международные аналоги — AES-128/256, ChaCha20. Один ключ для шифрования и расшифровки; высокая скорость; нужно безопасно передавать ключ;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Асимметричное шифрование.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ГОСТ Р 34.10-2012 (на эллиптических кривых); международные — RSA, ECDSA. Два связанных ключа (открытый и закрытый); используется для обмена ключами и электронной подписи;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Хэш-функции.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ГОСТ Р 34.11-2012 «Стрибог» (256/512 бит); международные — SHA-256, SHA-3, BLAKE2. Применяются для проверки целостности, ЭЦП, хранения паролей (с солью и медленными KDF: bcrypt, Argon2);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Электронная подпись.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Регулируется ФЗ-63 «Об электронной подписи» (2011). Три вида: простая ЭП (логин-пароль), усиленная неквалифицированная (НЭП), усиленная квалифицированная (КЭП — наибольшая юридическая сила, выдаётся аккредитованными УЦ);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Управление ключами.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HSM (Hardware Security Module), PKI с удостоверяющими центрами, протоколы обмена ключами (Diffie-Hellman, X3DH для мессенджеров);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Постквантовая криптография.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В 2024 году NIST стандартизовал первые алгоритмы (ML-KEM на основе CRYSTALS-Kyber, ML-DSA на основе CRYSTALS-Dilithium), устойчивые к атакам на квантовых компьютерах. В РФ ведутся работы в рамках Технического комитета 26.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1.4. Технологии идентификации и аутентификации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Аутентификация — ключевой контроль доступа. Современные подходы: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Многофакторная аутентификация (MFA): «что-то знаю» (пароль) + «что-то имею» (телефон, токен) + «что-то есть у меня» (биометрия);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Одноразовые пароли (OTP): TOTP (RFC 6238, Google Authenticator), SMS-коды (постепенно устаревают из-за SIM-swap атак);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Push-уведомления и QR-коды (Госключ, Сбер ID, Тинькофф ID);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FIDO2 / WebAuthn — стандарт пассивной аутентификации через биометрию или ключи безопасности (YubiKey, РуToken FIDO);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Биометрия: распознавание лица (Face ID, ЕБС Ростелекома), отпечатки пальцев, голос, рисунок вен;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Сертификаты PKI и СКЗИ КриптоПро для квалифицированной ЭП — стандарт в банковской и государственной сферах;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SSO (Single Sign-On): SAML 2.0, OAuth 2.0, OpenID Connect — единый вход в корпоративных средах;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Технология Passkeys (2022) — беспарольная аутентификация на базе FIDO2.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1.5. Защита периметра и сетевая безопасность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Межсетевые экраны нового поколения (NGFW): фильтрация по портам, DPI (Deep Packet Inspection), IDS/IPS-функции в одной коробке. Российские — UserGate, Континент 4 (Код Безопасности), ViPNet Coordinator. Зарубежные — Check Point, Palo Alto, Fortinet;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Web Application Firewall (WAF): защита от OWASP Top 10 (SQL-инъекций, XSS, CSRF). Российские — PT AF (Positive Technologies), BI.ZONE WAF; open source — ModSecurity;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Системы обнаружения и предотвращения вторжений (IDS/IPS): Suricata, Snort, российские решения Kaspersky SDDC, Лаборатория Касперского KICS;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VPN: IPsec, OpenVPN, WireGuard. Российские СКЗИ — ViPNet Client, КриптоПро IPsec, Континент VPN;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Защита от DDoS: облачные сервисы (Cloudflare, Qrator Labs — российский лидер, DDoS-Guard), специализированные устройства;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Сегментация сети, микросегментация, концепция Zero Trust (BeyondCorp Google, Forrester ZTNA).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1.6. Защита данных и конечных точек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Антивирусы и EDR (Endpoint Detection and Response): Kaspersky Endpoint Security, Dr.Web, СёрчИнформ EDR, Microsoft Defender;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DLP (Data Leak Prevention) для контроля исходящего трафика: InfoWatch Traffic Monitor, SearchInform DLP, Solar Dozor (Ростелеком-Солар);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HIDS / SIEM-агенты: Wazuh, OSSEC;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Шифрование БД: TDE (Transparent Data Encryption) в Oracle, MS SQL, PostgreSQL pgcrypto; маскирование данных (Dynamic Data Masking) в продуктивных и тестовых средах;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Шифрование дисков: BitLocker, LUKS, FileVault, ГОСТ-СКЗИ КриптоПро Диск;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Защищённые контейнеры для мобильных устройств (MDM): Knox (Samsung), отечественные Аврора OS.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1.7. Мониторинг и реагирование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SIEM (Security Information and Event Management) — централизованный сбор логов, корреляция событий, выявление инцидентов. Российские: MaxPatrol SIEM (Positive Technologies), Kaspersky Unified Monitoring (KUMA), RuSIEM, R-Vision SIEM;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SOC (Security Operations Center) — служба 24/7 мониторинга и реагирования; внутренний или внешний (МТС Кибербезопасность, BI.ZONE, Solar JSOC);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SOAR (Security Orchestration, Automation and Response) — автоматизация реагирования: R-Vision SOAR, Security Vision;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Threat Intelligence — поток данных об угрозах: Kaspersky Threat Intelligence Portal, Group-IB Threat Intelligence;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ГосСОПКА — Государственная система обнаружения, предупреждения и ликвидации последствий компьютерных атак (координируется НКЦКИ при ФСБ);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Bug bounty программы (Standoff 365, BI.ZONE Bug Bounty) — поиск уязвимостей с вознаграждением.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1.8. Безопасная разработка (DevSecOps)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Защита должна интегрироваться в жизненный цикл разработки ПО, а не «приклеиваться» в конце: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Secure SDLC (Software Development Life Cycle) — методология безопасной разработки Microsoft (2004);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SAST (Static Application Security Testing) — анализ исходного кода: PT Application Inspector, SVACE (ИСП РАН), Solar AppScreener, Checkmarx, SonarQube;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DAST (Dynamic Application Security Testing) — атаки на работающее приложение: OWASP ZAP, Burp Suite, BI.ZONE Sentinel;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IAST (Interactive AST) — комбинированный подход;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SCA (Software Composition Analysis) — анализ зависимостей на уязвимости (CVE);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Container scanning — анализ Docker-образов (Trivy, Aqua Security);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Secrets management — Vault от HashiCorp, ALD Pro Vault.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1.9. Российская нормативная база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Доктрина информационной безопасности РФ (Указ Президента № 646 от 05.12.2016);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ФЗ-149 «Об информации, ИТ и о защите информации»; ФЗ-152 «О ПДн»; ФЗ-187 «О безопасности КИИ»;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Приказ ФСТЭК России № 17 — защита ГИС; № 21 — защита ПДн; № 31 — защита АСУ ТП; № 239 — КИИ;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Приказ ФСБ России № 378 — требования к СКЗИ при обработке ПДн;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ГОСТ Р ИСО/МЭК 27001-2021 — системы менеджмента ИБ;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Реестр российского ПО Минцифры — приоритет отечественных продуктов в государственных закупках.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1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Информационные технологии защиты информации — комплекс программных, аппаратных и регламентных средств, реализующий принципы CIA-триады и работающий по схеме глубоко эшелонированной обороны. Ключевые категории: криптография (ГОСТ Кузнечик / Магма / Стрибог / Р 34.10; AES, RSA, SHA), идентификация и аутентификация (MFA, FIDO2, биометрия, ЕБС), управление доступом (RBAC, ABAC, Zero Trust), защита периметра (NGFW, WAF, IDS/IPS, VPN), защита хостов (антивирусы, EDR, DLP), защита данных (TDE, маскирование), мониторинг (SIEM, SOC, SOAR, ГосСОПКА), безопасная разработка (SAST, DAST, SCA, DevSecOps). После 2022 года в РФ активно идёт импортозамещение: UserGate, Континент, ViPNet, Kaspersky, MaxPatrol, InfoWatch, Solar Dozor, PT Application Inspector. Регулирование — ФЗ-149/152/187, приказы ФСТЭК № 17, 21, 31, 239 и ФСБ № 378, ГОСТ Р ИСО/МЭК 27001-2021, реестр российского ПО Минцифры.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2. Проблемы моделирования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2.1. Понятие модели и моделирования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Моделирование — это метод научного познания, основанный на изучении объекта (оригинала) через построение и исследование его упрощённого аналога — модели. Модель — это материальный или мысленный объект, который воспроизводит существенные для целей исследования свойства оригинала, отбрасывая несущественные. Современная теория моделирования сформирована в работах Норберта Винера («Кибернетика», 1948), Джона фон Неймана (теория клеточных автоматов), Поля Самюэльсона (математическая экономика), Стаффорда Бира (системное мышление).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Принципиальное свойство любой модели — её неполнота. По известному афоризму статистика Джорджа Бокса (1976): «Все модели неправильны, но некоторые из них полезны». Хорошая модель отбрасывает несущественные детали ради ясности и пригодности к расчётам, а полезность определяется тем, насколько её выводы согласуются с реальностью в области применения.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2.2. Этапы построения модели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Постановка задачи — определение целей моделирования, требований к точности и области применимости;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Концептуализация — выделение существенных свойств и связей объекта; построение содержательной модели на естественном языке;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Формализация — перевод содержательной модели в математические термины (уравнения, графы, алгоритмы);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Программная реализация — выбор инструментов (AnyLogic, MATLAB/Simulink, Python/SciPy, отечественные SimInTech, Wolfram Mathematica);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Верификация — проверка корректности программной реализации модели («модель решает то, что должна»);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Валидация — проверка адекватности модели реальности через сравнение с эмпирическими данными или экспертной оценкой;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Экспериментирование с моделью — численные эксперименты, анализ чувствительности, сценарное прогнозирование;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Сопровождение и развитие модели.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2.3. Классификация моделей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Модели классифицируются по нескольким независимым признакам. В таблице — основные классы с примерами: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200"/>
        <w:gridCol w:w="53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Признак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Класс модели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Описание / примеры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Природа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Физические (предметные)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Уменьшенные копии: макеты зданий, аэродинамические трубы, манекены краш-тестов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Знаковые (математические)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Формулы, графы, программы: ОДУ движения, графы социальных сетей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Способ описания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Аналитические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Решение в замкнутом виде (формулы). Пример: модель гармонического осциллятора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Имитационные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Воспроизведение поведения шагами (Monte-Carlo, AnyLogic, GPSS)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Время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Статические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Снимок системы в момент (баланс предприятия)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Динамические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Эволюция во времени (ОДУ, конечные автоматы, агент-ориентированные)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Определённость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Детерминированные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Однозначный исход (классическая механика без шума)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Стохастические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 случайностью (теория массового обслуживания, цепи Маркова)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Структура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Дискретные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Системы с конечным набором состояний (сети Петри)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Непрерывные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Состояние из непрерывного множества (СДУ, поля)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Назначение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Описательные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Объяснение явлений (модель ДНК Уотсона-Крика)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Прогнозные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Предсказание будущего (модели климата, ML)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Оптимизационные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Поиск экстремума (линейное программирование, SCM)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Имитационные тренажёры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Подготовка специалистов (авиатренажёры, медицина)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2.4. Ключевые проблемы моделирования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Проблема адекватности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Адекватность модели — её соответствие реальности в области применения. Главная проблема: невозможно гарантировать адекватность модели в условиях, не охваченных при её разработке (экстраполяция). Классический пример — крах модели VaR в финансах в 2008 году: модели работали в пределах исторических данных, но не предсказали системного кризиса. Современная адекватность подтверждается через ретроспективные тесты (back-testing), кросс-валидацию, экспертный анализ и сценарии стресс-тестов.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Проблема сложности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Существует фундаментальный компромисс между сложностью модели и её полезностью. Слишком простая модель не отражает существенных эффектов (underfit). Слишком сложная — трудно интерпретируется, требует огромных вычислительных ресурсов, переобучается на конкретных данных (overfit) и не обобщается. Принцип бритвы Оккама: «Не следует множить сущности без необходимости» — выбор минимально достаточной модели.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Проблема валидации и верификации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Верификация (verification) отвечает на вопрос «правильно ли мы построили модель?» — корректность реализации. Валидация (validation) — «правильную ли модель мы построили?» — соответствие реальности. Эти процессы методически разные: верификация проводится через тесты, отладку, формальные методы; валидация — через эмпирическое сравнение, экспертные оценки, A/B-тесты. На практике провести полную валидацию сложно: для климатических, экономических, биологических моделей часто нет эталонных данных.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Проблема чувствительности к параметрам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Многие модели сильно зависят от начальных условий и значений параметров. В нелинейных системах малые изменения входов могут давать радикально разные результаты (эффект бабочки Лоренца, 1963). Проводится анализ чувствительности — изучение того, как изменения параметров влияют на выходы. Методы: однопараметрический анализ (one-at-a-time), Соболева индексы, метод Морриса, Latin Hypercube Sampling.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Проблема вычислительной сложности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Многие задачи моделирования — NP-трудные или экспоненциальные по сложности. Имитация молекулярной динамики белка масштаба 10 000 атомов требует кластерных суперкомпьютеров. Прогноз погоды на 7 дней — десятков петафлопс. Решения: упрощённые приближённые модели, параллельные вычисления, использование GPU/TPU, замена точных моделей на нейросетевые суррогаты (Neural Surrogate Models).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Проклятие размерности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Понятие, введённое Ричардом Беллманом (1957): с ростом числа измерений объём пространства возрастает экспоненциально, что делает невозможным эффективную выборку. Если для одномерной задачи достаточно 10 точек, для 10-мерной нужно 10¹⁰. Проблема критична для оптимизации, машинного обучения, моделирования физических систем высокой размерности. Подходы: понижение размерности (PCA, t-SNE, UMAP), методы Монте-Карло, активное обучение.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Проблема качества данных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Модели машинного обучения (которые суть статистические модели) полностью зависят от данных: «garbage in, garbage out». Проблемы: пропуски, выбросы, шум, систематические смещения (bias), нерепрезентативность, утечка данных (data leakage), концепт-дрифт (изменение распределения со временем). Решения: тщательная подготовка данных, мониторинг качества, регулярное переобучение, robust statistics.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Проблема интерпретируемости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Сложные модели (глубокие нейросети, ансамбли деревьев) часто непрозрачны — это «чёрные ящики». Это серьёзная проблема в регулируемых отраслях (медицина, кредитование, юстиция), где требуется объяснимость решений. Развитие направления Explainable AI (XAI): SHAP (Lundberg, 2017), LIME (Ribeiro, 2016), Attention visualization, контрфактические объяснения. В РФ объяснимость закреплена в ГОСТ Р 59276-2020 «Системы ИИ. Способы обеспечения доверия».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Проблема замкнутости (closure problem)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Многие модели сложных систем (турбулентность, биологические процессы) не замкнуты: уравнения содержат величины, для которых нет уравнений. Приходится вводить эмпирические замыкания (closure schemes), что снижает достоверность. Классический пример — модели турбулентности (k-ε, k-ω, RANS, LES, DNS).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2.5. Современные направления моделирования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Цифровые двойники (Digital Twins).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Концепция Майкла Гривса (2002), широко применяется в Industry 4.0: цифровой двойник — это исполняемая модель физического объекта, синхронизированная с ним в реальном времени через IoT-датчики. Применяется в Газпром нефти, Северстали, КамАЗе, в российской программе «Цифровая экономика» 2024–2030;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Агентное моделирование.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Описание системы как набора автономных агентов с правилами поведения. Среды: NetLogo, AnyLogic (российская разработка), GAMA. Применения: эпидемиология, городское планирование, рыночные модели;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Имитационное моделирование.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Дискретно-событийное (системы массового обслуживания, логистика), Монте-Карло (риски, физика). Инструменты: AnyLogic, SimPy, GPSS, российские SimInTech и Алгус-Симо;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ML как моделирование.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Нейросети рассматриваются как универсальные аппроксиматоры (теорема Цыбенко, 1989). Современная тенденция — гибридные модели, сочетающие физические уравнения и нейросети (Physics-Informed Neural Networks);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Квантовое моделирование.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Использование квантовых компьютеров для моделирования квантовых же систем (Фейнман, 1982). В РФ — Российский квантовый центр, программа НТИ «Квантум».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2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Моделирование — фундаментальный метод научного познания, в котором сложный объект изучается через упрощённый аналог. Модели классифицируются по природе (физические/математические), способу описания (аналитические/имитационные), времени (статические/динамические), определённости (детерминированные/стохастические), назначению (описательные/прогнозные/оптимизационные/тренажёрные). Ключевые проблемы моделирования: адекватность (Бокс: «Все модели неправильны, но некоторые полезны»), баланс сложности (бритва Оккама vs over/underfit), валидация и верификация (две разные задачи), чувствительность к параметрам (эффект бабочки Лоренца), вычислительная сложность (NP-трудность), проклятие размерности (Беллман, 1957), качество данных (garbage in, garbage out), интерпретируемость (XAI: SHAP, LIME, ГОСТ Р 59276-2020), замкнутость. Современные направления: цифровые двойники (Industry 4.0), агентное моделирование (AnyLogic), имитационное (российский AnyLogic), ML как универсальный аппроксиматор (теорема Цыбенко, 1989), Physics-Informed Neural Networks, квантовое моделирование. В РФ применяется в Газпром нефти, Северстали, КамАЗе, программе «Цифровая экономика».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3. UML-диаграммы для системы «Изготовление шкафа-купе на заказ»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3.1. О языке UML и его диаграммах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UML (Unified Modeling Language, унифицированный язык моделирования) — стандарт визуального моделирования программных и бизнес-систем, разработанный Гради Бучем, Айваром Якобсоном и Джеймсом Рамбо в середине 1990-х годов в Rational Software. С 1997 года поддерживается консорциумом OMG как открытый стандарт; текущая версия — UML 2.5.1 (2017). UML описывает 14 типов диаграмм, разделённых на структурные (что в системе есть) и поведенческие (как система ведёт себя).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рамках данной задачи требуется построить два типа поведенческих диаграмм: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Диаграмма вариантов использования (Use Case Diagram)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описывает функциональность системы с точки зрения внешних пользователей (актёров). Показывает «что» делает система, но не «как». Применяется на этапе сбора требований;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Диаграмма деятельности (Activity Diagram)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описывает поток операций (workflow) внутри системы или бизнес-процесса. Аналог блок-схемы с возможностью обозначения параллельных потоков, ветвлений и циклов. Применяется для визуализации алгоритмов и бизнес-процессов.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3.2. Предметная область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Система «Изготовление шкафа-купе на заказ» — типичная мебельная компания, обслуживающая заказы клиентов на индивидуальное проектирование и изготовление встраиваемой мебели. Сквозной процесс охватывает несколько этапов от приёма заявки до подписания акта приёмки, в котором участвуют различные сотрудники с разными ролями.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Основные участники и функции: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Клиент — заказчик, обладатель помещения;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Менеджер — первичная обработка заявок, договоры, общение с клиентом;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Замерщик — выезд на адрес для снятия точных размеров;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Дизайнер — разработка проекта в специализированной CAD-системе (Базис-Мебельщик, PRO100, 3D Constructor);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Технолог — расчёт раскроя, спецификация фурнитуры, заказ материалов;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Производство — раскрой ЛДСП, кромкование, сверление присадки;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Монтажник — доставка и сборка изделия на месте;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Бухгалтер — финансовая часть: счета, акты, налоговая отчётность.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3.3. Диаграмма вариантов использования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 диаграмме (рис. 1) изображены восемь актёров (четыре слева — со стороны клиента и фронт-офиса; четыре справа — со стороны производства и бэк-офиса) и пятнадцать вариантов использования внутри границ системы: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«Оставить заявку» — инициируется клиентом, обрабатывается менеджером;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«Принять заявку» — менеджер регистрирует обращение, оповещает бухгалтерию;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«Согласовать дизайн» — клиент и менеджер обсуждают концепцию;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«Выехать на замер» — замерщик снимает размеры на адресе клиента;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«Подписать договор» — клиент с менеджером;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«Внести предоплату» — клиент, фиксируется бухгалтером;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«Разработать проект» — дизайнер на основе замеров;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«Заказать материалы» — технолог формирует спецификацию;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«Изготовить детали» — производственный цех;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«Доставить детали» — производство и логистика;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«Собрать шкаф» — монтажник на адресе клиента;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«Принять работу» — клиент проверяет результат;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«Внести доплату» — клиент после приёмки;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«Выставить акт» — бухгалтер формирует закрывающие документы;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«Гарантийное обслуживание» — пост-продажная поддержка.</w:t>
      </w:r>
    </w:p>
    <w:p>
      <w:pPr>
        <w:spacing w:after="120" w:before="240"/>
        <w:jc w:val="center"/>
      </w:pPr>
      <w:r>
        <w:drawing>
          <wp:inline distT="0" distB="0" distL="0" distR="0">
            <wp:extent cx="6096000" cy="41338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1 — Диаграмма вариантов использования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3.4. Диаграмма деятельности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Диаграмма деятельности (рис. 2) описывает полный поток процесса от оставления заявки до подписания акта приёмки. Она содержит четырнадцать активностей, два узла принятия решения (decision nodes) с двумя циклами обратной связи, начальный и конечный узлы: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Линейная часть процесса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Клиент оставляет заявку → Менеджер принимает заявку → Замерщик выезжает на адрес → Дизайнер разрабатывает проект и смету.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Первый цикл — согласование проекта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После разработки проекта следует решение «Проект согласован?». Если нет — выполняется активность «Внести правки в проект (дизайнер)», и поток возвращается к разработке. Цикл может повторяться несколько раз, пока клиент не одобрит итоговый вариант. Если да — переход к заключению договора.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Линейная часть — оформление и закупка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Заключить договор → Клиент вносит предоплату 50% → Закупка фурнитуры, ЛДСП, зеркал → Раскрой и обработка деталей на производстве.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Второй цикл — контроль качества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После производства каждой детали проходит контроль качества. Если брак — выполняется активность «Переделать бракованную деталь», и поток возвращается к производству. Если ОК — переход к доставке.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Завершающая часть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Доставка деталей клиенту → Сборка и монтаж шкафа → Клиент вносит доплату 50% → Подписание акта приёмки → Конец процесса.</w:t>
      </w:r>
    </w:p>
    <w:p>
      <w:pPr>
        <w:spacing w:after="120" w:before="240"/>
        <w:jc w:val="center"/>
      </w:pPr>
      <w:r>
        <w:drawing>
          <wp:inline distT="0" distB="0" distL="0" distR="0">
            <wp:extent cx="4286250" cy="54578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2 — Диаграмма деятельности (Activity Diagram)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3.5. Технология построения диаграмм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Обе диаграммы построены программно — Python-скриптом generate_uml_diagrams.py, использующим библиотеку cairosvg для конвертации SVG в PNG. Подход — тот же, что и для всех других диаграмм в данной работе (BPMN билет 3, C4 билеты 4 и 10, ERD билет 12). Воспроизводимый код позволяет легко вносить правки и хранить диаграммы под версионным контролем (git). Альтернативные инструменты для построения UML-диаграмм: PlantUML (текстовое описание → SVG), draw.io (графический редактор), Lucidchart, Visual Paradigm, Astah; российские — Бизнес-Студио, KOMETA, SilverDAT FT.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3.6. Анализ результата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Построенные диаграммы дополняют друг друга: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Диаграмма вариантов использования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даёт статическое представление о функциональности системы и распределении обязанностей. Из неё видно, например, что клиент участвует во всех ключевых точках процесса (заявка, согласование, договор, оплата, приёмка), а бухгалтер — преимущественно в финансовых аспектах. Эта диаграмма полезна на этапе сбора требований и определения границ системы;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Диаграмма деятельности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даёт динамическое представление — последовательность шагов с разветвлениями и циклами. Из неё видно, что в процессе есть два цикла обратной связи (согласование проекта и контроль качества), что критично с точки зрения управления сроками. Эта диаграмма используется при автоматизации процесса в BPM-системах (российские Битрикс24 Бизнес-процессы, Camunda, BPMSoft, Yandex Wiki Workflow).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3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системы «Изготовление шкафа-купе на заказ» построены две UML-диаграммы. Диаграмма вариантов использования (рис. 1) содержит 8 актёров (Клиент, Менеджер, Замерщик, Дизайнер, Бухгалтер, Технолог, Производство, Монтажник) и 15 прецедентов внутри границы системы, охватывающих весь жизненный цикл заказа от заявки до гарантийного обслуживания. Диаграмма деятельности (рис. 2) показывает 14 активностей, два узла принятия решения (согласование проекта и контроль качества) с двумя циклами обратной связи, обеспечивающими корректность результата. Диаграммы построены программно через Python + cairosvg по тому же подходу, что и BPMN/C4/ERD-диаграммы в других билетах. Диаграммы дополняют друг друга: вариантов использования отражает «что» делает система и кто в ней участвует, деятельности — «как» процесс протекает во времени. На практике обе диаграммы используются на этапах сбора требований и моделирования бизнес-процессов.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imes New Roman" w:cs="Times New Roman" w:eastAsia="Times New Roman" w:hAnsi="Times New Roman"/>
        <w:sz w:val="22"/>
        <w:szCs w:val="22"/>
      </w:rPr>
      <w:t xml:space="preserve">Стр. </w:t>
      <w:fldChar w:fldCharType="begin"/>
      <w:instrText xml:space="preserve">PAGE</w:instrText>
      <w:fldChar w:fldCharType="separate"/>
      <w:fldChar w:fldCharType="end"/>
      <w:t xml:space="preserve"> из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Times New Roman" w:cs="Times New Roman" w:eastAsia="Times New Roman" w:hAnsi="Times New Roman"/>
        <w:i/>
        <w:iCs/>
        <w:sz w:val="22"/>
        <w:szCs w:val="22"/>
      </w:rPr>
      <w:t xml:space="preserve">Билет № 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8"/>
        <w:szCs w:val="2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 w:line="360"/>
      <w:jc w:val="center"/>
      <w:outlineLvl w:val="0"/>
    </w:pPr>
    <w:rPr>
      <w:rFonts w:ascii="Times New Roman" w:cs="Times New Roman" w:eastAsia="Times New Roman" w:hAnsi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300" w:line="360"/>
      <w:outlineLvl w:val="1"/>
    </w:pPr>
    <w:rPr>
      <w:rFonts w:ascii="Times New Roman" w:cs="Times New Roman" w:eastAsia="Times New Roman" w:hAnsi="Times New Roman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40" w:line="360"/>
      <w:outlineLvl w:val="2"/>
    </w:pPr>
    <w:rPr>
      <w:rFonts w:ascii="Times New Roman" w:cs="Times New Roman" w:eastAsia="Times New Roman" w:hAnsi="Times New Roman"/>
      <w:b/>
      <w:bCs/>
      <w:i/>
      <w:i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b7d02252184fbee60d7519cd0717a5cfebef7dea.png"/><Relationship Id="rId10" Type="http://schemas.openxmlformats.org/officeDocument/2006/relationships/image" Target="media/2293032abaeb6c575960c5112b05221d36ea3e06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2026-05-27T03:50:00.358Z</dcterms:created>
  <dcterms:modified xsi:type="dcterms:W3CDTF">2026-05-27T03:50:00.358Z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