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0" w:before="1200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Министерство цифрового развития, связи и массовых коммуникаций</w:t>
      </w:r>
    </w:p>
    <w:p>
      <w:pPr>
        <w:spacing w:after="200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Российской Федерации</w:t>
      </w:r>
    </w:p>
    <w:p>
      <w:pPr>
        <w:spacing w:after="200"/>
        <w:jc w:val="center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ФГБОУ ВО «Сибирский государственный университет телекоммуникаций и информатики»</w:t>
      </w:r>
    </w:p>
    <w:p>
      <w:pPr>
        <w:spacing w:after="1000"/>
        <w:jc w:val="center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Уральский технический институт связи и информатики (УрТИСИ СибГУТИ)</w:t>
      </w:r>
    </w:p>
    <w:p>
      <w:pPr>
        <w:spacing w:after="200"/>
        <w:jc w:val="center"/>
      </w:pPr>
      <w:r>
        <w:rPr>
          <w:rFonts w:ascii="Times New Roman" w:cs="Times New Roman" w:eastAsia="Times New Roman" w:hAnsi="Times New Roman"/>
          <w:b/>
          <w:bCs/>
          <w:sz w:val="36"/>
          <w:szCs w:val="36"/>
        </w:rPr>
        <w:t xml:space="preserve">ОТВЕТЫ НА ЭКЗАМЕНАЦИОННЫЙ БИЛЕТ № 18</w:t>
      </w:r>
    </w:p>
    <w:p>
      <w:pPr>
        <w:spacing w:after="400"/>
        <w:jc w:val="center"/>
      </w:pPr>
      <w:r>
        <w:rPr>
          <w:rFonts w:ascii="Times New Roman" w:cs="Times New Roman" w:eastAsia="Times New Roman" w:hAnsi="Times New Roman"/>
          <w:i/>
          <w:iCs/>
          <w:sz w:val="26"/>
          <w:szCs w:val="26"/>
        </w:rPr>
        <w:t xml:space="preserve">Итоговый государственный междисциплинарный экзамен</w:t>
      </w:r>
    </w:p>
    <w:p>
      <w:pPr>
        <w:spacing w:after="200"/>
        <w:jc w:val="center"/>
      </w:pPr>
      <w:r>
        <w:rPr>
          <w:rFonts w:ascii="Times New Roman" w:cs="Times New Roman" w:eastAsia="Times New Roman" w:hAnsi="Times New Roman"/>
          <w:sz w:val="26"/>
          <w:szCs w:val="26"/>
        </w:rPr>
        <w:t xml:space="preserve">Направление подготовки 09.04.01 «Информатика и вычислительная техника»</w:t>
      </w:r>
    </w:p>
    <w:p>
      <w:pPr>
        <w:spacing w:after="800"/>
        <w:jc w:val="center"/>
      </w:pPr>
      <w:r>
        <w:rPr>
          <w:rFonts w:ascii="Times New Roman" w:cs="Times New Roman" w:eastAsia="Times New Roman" w:hAnsi="Times New Roman"/>
          <w:sz w:val="26"/>
          <w:szCs w:val="26"/>
        </w:rPr>
        <w:t xml:space="preserve">Профиль: «Инженерия программного обеспечения и информационных систем»</w:t>
      </w:r>
    </w:p>
    <w:p>
      <w:pPr>
        <w:spacing w:after="240" w:before="600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Вопросы билета:</w:t>
      </w:r>
    </w:p>
    <w:p>
      <w:pPr>
        <w:spacing w:after="12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1. Содержание «Банк данных угроз безопасности информации ФСТЭК России».</w:t>
      </w:r>
    </w:p>
    <w:p>
      <w:pPr>
        <w:spacing w:after="12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2. Какие метрики используются для оценки регрессии?</w:t>
      </w:r>
    </w:p>
    <w:p>
      <w:pPr>
        <w:spacing w:after="12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3. Создать компонент «Счётчик» с кнопками «Увеличить» и «Уменьшить» на Python (Tkinter).</w:t>
      </w:r>
    </w:p>
    <w:p>
      <w:r>
        <w:br w:type="page"/>
      </w:r>
    </w:p>
    <w:p>
      <w:pPr>
        <w:pStyle w:val="Heading1"/>
        <w:spacing w:after="240" w:before="360" w:line="360"/>
        <w:jc w:val="center"/>
      </w:pPr>
      <w:r>
        <w:rPr>
          <w:rFonts w:ascii="Times New Roman" w:cs="Times New Roman" w:eastAsia="Times New Roman" w:hAnsi="Times New Roman"/>
          <w:b/>
          <w:bCs/>
          <w:sz w:val="32"/>
          <w:szCs w:val="32"/>
        </w:rPr>
        <w:t xml:space="preserve">Вопрос 1. Банк данных угроз безопасности информации ФСТЭК России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1.1. Определение и назначение БДУ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Банк данных угроз безопасности информации ФСТЭК России (БДУ) — это национальный информационный ресурс, формируемый и поддерживаемый Федеральной службой по техническому и экспортному контролю (ФСТЭК России) и содержащий систематизированные сведения об угрозах безопасности информации и уязвимостях программного обеспечения, имеющих практическое значение для российских информационных систем. БДУ ведётся ФГУП «Главный центр специальной связи» и Государственным научно-исследовательским испытательным институтом проблем технической защиты информации ФСТЭК (ГНИИИ ПТЗИ ФСТЭК).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БДУ создан в соответствии с Положением о Федеральной службе по техническому и экспортному контролю (Указ Президента РФ № 1085 от 16.08.2004) и приказом ФСТЭК России от 11.02.2013 № 17 «Об утверждении требований о защите информации, не составляющей государственную тайну, содержащейся в государственных информационных системах». Открытая часть БДУ публикуется на официальном сайте по адресу bdu.fstec.ru и доступна всем пользователям. БДУ играет ключевую роль в процессах моделирования угроз, выбора мер защиты, категорирования объектов критической информационной инфраструктуры (КИИ) и сертификации средств защиты информации.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1.2. Структура БДУ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БДУ состоит из нескольких взаимосвязанных разделов: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4360"/>
        <w:gridCol w:w="2200"/>
      </w:tblGrid>
      <w:tr>
        <w:trPr>
          <w:tblHeader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</w:rPr>
              <w:t xml:space="preserve">Раздел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</w:rPr>
              <w:t xml:space="preserve">Содержание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</w:rPr>
              <w:t xml:space="preserve">Объём данных (на 2025)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Угрозы безопасности информации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Описания типовых угроз с указанием источника, способа реализации, объекта воздействия и последствий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около 240 типов угроз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Уязвимости ПО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Каталог обнаруженных уязвимостей в программных и программно-аппаратных продуктах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70 000+ записей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Способы реализации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Техники и тактики реализации угроз (российский аналог MITRE ATT&amp;CK)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десятки сценариев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Источники угроз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Категории нарушителей: внешние, внутренние, спецслужбы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4 категории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Объекты воздействия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Что атакуется: данные, программное обеспечение, технические средства, персонал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~30 типов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Меры защиты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Связь с приказами ФСТЭК № 17, 21, 31, 239 и каталогом мер защиты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сотни мер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Раздел «Угрозы безопасности информации»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Основной раздел БДУ, содержащий более 240 типов угроз. Каждая угроза описывается по унифицированной структуре: уникальный идентификатор (УБИ.001, УБИ.002, …), наименование, источник угрозы, объект воздействия, способ реализации, последствия. Угрозы охватывают весь спектр атак: от сетевых (перехват трафика, MITM) до физических (доступ к носителям информации) и социальной инженерии. БДУ — единственная официально утверждённая база угроз для использования в моделях угроз информационным системам персональных данных (ИСПДн), государственным информационным системам (ГИС), автоматизированным системам управления технологическими процессами (АСУ ТП) и объектам КИИ.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Раздел «Уязвимости»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Каталог обнаруженных уязвимостей в программных продуктах. На 2025 год содержит более 70 000 записей. Каждая уязвимость имеет уникальный идентификатор (BDU:2024-XXXXX), описание, оценку по CVSS v3.1 (Common Vulnerability Scoring System), затронутые продукты и версии, информацию о наличии патча. БДУ ФСТЭК интегрирована с международной базой CVE (Common Vulnerabilities and Exposures) MITRE: для большинства уязвимостей указан соответствующий CVE-идентификатор. После 2022 года российские исследователи безопасности отчитываются о найденных уязвимостях преимущественно в БДУ.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1.3. Применение БДУ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Использование БДУ обязательно в следующих случаях: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Моделирование угроз для ИСПДн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(приказ ФСТЭК № 21 от 18.02.2013) — оператор обязан составить актуальную модель угроз с использованием классификации БДУ при определении уровня защищённости персональных данных;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Защита ГИС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(приказ ФСТЭК № 17 от 11.02.2013) — модель угроз и техническое задание на защиту строятся на основе УБИ из БДУ;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Защита АСУ ТП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(приказ ФСТЭК № 31 от 14.03.2014) — для промышленных систем управления критической инфраструктурой;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Защита КИИ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(приказ ФСТЭК № 239 от 25.12.2017) — категорирование объектов КИИ I, II или III категории требует анализа потенциальных угроз с использованием БДУ;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Сертификация средств защиты информации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производители СЗИ обязаны декларировать защиту от конкретных угроз из БДУ;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Аудит безопасности и пентесты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аудиторы применяют БДУ как методологическую основу;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Мониторинг ПО на уязвимости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организации обязаны отслеживать БДУ для обеспечения своевременного устранения уязвимостей в эксплуатируемом ПО.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1.4. Структура описания угрозы в БДУ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Каждая угроза в БДУ описывается по семи обязательным полям: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Идентификатор (УБИ.XXX) — уникальный номер угрозы;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Наименование угрозы;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Описание угрозы — содержательная характеристика;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Источник угрозы — внешний нарушитель с низким, средним или высоким потенциалом, внутренний нарушитель аналогичных категорий, иностранные техразведки;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Объект воздействия — что атакуется (АРМ, сервер, БД, программное обеспечение, сетевое оборудование, носители информации, персонал);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Способ реализации — как именно реализуется угроза (через сетевое подключение, физический доступ, перехват излучения и т. д.);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Последствия — нарушение конфиденциальности, целостности, доступности.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1.5. Категоризация нарушителей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БДУ выделяет четыре категории потенциальных нарушителей по уровню потенциала и доступа: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Внешний с низким потенциалом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любительский, имеет доступ к открытым средствам, ограниченным ресурсам;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Внешний со средним потенциалом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организованные группы, нацеленные на коммерческую выгоду;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Внешний с высоким потенциалом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государственные спецслужбы (APT-группы), имеющие практически неограниченные ресурсы;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Внутренний нарушитель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(трёх уровней потенциала) — лица с легитимным доступом: сотрудники, подрядчики, привилегированные пользователи, администраторы.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1.6. Связь с другими базами и стандартами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CVE / NVD MITRE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международная база уязвимостей; идентификаторы CVE упоминаются в записях БДУ. После 2022 года произошла частичная фрагментация: ряд российских CVE-номеров идут через БДУ как первоисточник;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CWE (Common Weakness Enumeration)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классификация типов уязвимостей; используется при анализе записей БДУ;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CVSS v3.1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стандарт оценки серьёзности уязвимостей (от 0 до 10 баллов): низкая, средняя, высокая, критическая;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MITRE ATT&amp;CK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зарубежная классификация тактик и техник; в РФ ведётся работа над собственным аналогом «Тактики и техники злоумышленника»;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Банк данных угроз ФСБ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параллельный ресурс ФСБ России (преимущественно по аппаратной части и СКЗИ);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НКЦКИ (Национальный координационный центр по компьютерным инцидентам)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публикует бюллетени об актуальных угрозах, основываясь на данных БДУ;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ГосСОПКА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Государственная система обнаружения, предупреждения и ликвидации последствий компьютерных атак, использующая данные БДУ при анализе инцидентов.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1.7. Особенности и перспективы развития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БДУ постоянно обновляется. С 2022 года значительно вырос темп пополнения: добавлены тысячи уязвимостей в зарубежных продуктах, в том числе тех, поддержка которых в России прекращена (Microsoft, VMware, Cisco). Активно публикуются уязвимости в российских продуктах: ALD Pro, Astra Linux, 1C, российских NGFW, СКЗИ. Параллельно ведутся работы по гармонизации БДУ с европейскими и международными базами уязвимостей в условиях ограниченной кооперации после 2022 года.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Дополнительные функции БДУ на 2024–2025 годы: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API для автоматизированной выгрузки данных в SIEM-системы (MaxPatrol SIEM, KUMA, RuSIEM);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Подписка на обновления через RSS и email-рассылку;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Сценарии типовых атак на основе записей БДУ;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Связь с реестром сертифицированных средств защиты ФСТЭК.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Выводы по вопросу 1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Банк данных угроз безопасности информации ФСТЭК России (БДУ, bdu.fstec.ru) — национальный информационный ресурс, содержащий систематизированные сведения о более 240 типах угроз безопасности информации и более 70 000 уязвимостях программного обеспечения. Создан в соответствии с Положением о ФСТЭК и приказом № 17 от 2013 года. Структура БДУ включает разделы угроз, уязвимостей, способов реализации, источников, объектов воздействия и мер защиты. Использование БДУ обязательно при моделировании угроз для ИСПДн (приказ № 21), ГИС (№ 17), АСУ ТП (№ 31), КИИ (№ 239), при сертификации СЗИ, аудите безопасности и пентестах. Каждая угроза описана по семи полям: ID, наименование, описание, источник, объект, способ реализации, последствия. Источники угроз классифицируются на четыре категории нарушителей. БДУ интегрирована с международной CVE/NVD MITRE, использует оценку CVSS v3.1. После 2022 года стала единым центром регистрации российских CVE. Активно используется НКЦКИ, ГосСОПКА и российскими SIEM-системами (MaxPatrol, KUMA, RuSIEM, R-Vision).</w:t>
      </w:r>
    </w:p>
    <w:p>
      <w:r>
        <w:br w:type="page"/>
      </w:r>
    </w:p>
    <w:p>
      <w:pPr>
        <w:pStyle w:val="Heading1"/>
        <w:spacing w:after="240" w:before="360" w:line="360"/>
        <w:jc w:val="center"/>
      </w:pPr>
      <w:r>
        <w:rPr>
          <w:rFonts w:ascii="Times New Roman" w:cs="Times New Roman" w:eastAsia="Times New Roman" w:hAnsi="Times New Roman"/>
          <w:b/>
          <w:bCs/>
          <w:sz w:val="32"/>
          <w:szCs w:val="32"/>
        </w:rPr>
        <w:t xml:space="preserve">Вопрос 2. Метрики оценки регрессии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2.1. Регрессия как задача и зачем нужны метрики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Регрессия — задача машинного обучения, в которой модель предсказывает непрерывную числовую величину: цену квартиры, температуру, потребление электроэнергии, объём продаж, время отклика сервиса. Это принципиально отличается от классификации (где предсказывается дискретный класс) и требует своего набора метрик. Если в классификации метрики основаны на матрице ошибок 2×2 (TP, FP, TN, FN — см. билет 16), то в регрессии все метрики базируются на разности между предсказанным значением ŷ и истинным значением y, называемой остатком (residual).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Как и в классификации, в регрессии следует различать функцию потерь (loss function), которая используется при обучении модели и должна быть дифференцируемой, и метрику качества (evaluation metric), которая используется при отчёте о результатах и должна быть интерпретируемой. На практике эти роли часто играют разные функции: например, обучают модель на MSE (хорошо дифференцируется), а отчитываются по MAE (понятнее интерпретируется в исходных единицах).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2.2. Сводная таблица метрик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 таблице ниже представлены 13 наиболее распространённых метрик регрессии с формулами и областями применения: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2000"/>
        <w:gridCol w:w="2400"/>
        <w:gridCol w:w="2760"/>
      </w:tblGrid>
      <w:tr>
        <w:trPr>
          <w:tblHeader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Метрика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Формула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Особенности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Когда применять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MAE (Mean Absolute Error)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(1/n) · Σ|yᵢ − ŷᵢ|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Робастна к выбросам; в исходных единицах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Когда выбросы — нормальное явление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MSE (Mean Squared Error)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(1/n) · Σ(yᵢ − ŷᵢ)²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Сильно штрафует большие ошибки; квадрат единиц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Обучение моделей; чувствительна к выбросам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RMSE (Root MSE)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√MSE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В исходных единицах; штраф больших ошибок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Универсальная отчётная метрика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MAPE (Mean Absolute % Error)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(100/n) · Σ|yᵢ − ŷᵢ|/|yᵢ|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Процентная; делится на y → проблемы при y ≈ 0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Прогноз спроса, цен, бизнес-показателей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SMAPE (Symmetric MAPE)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усреднённая |y − ŷ|/((|y|+|ŷ|)/2)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Симметричная версия MAPE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Временные ряды (M-competitions)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WMAPE (Weighted MAPE)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Σ|yᵢ − ŷᵢ| / Σ|yᵢ|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Не страдает при y ≈ 0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Прогноз продаж по нескольким товарам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MASE (Mean Absolute Scaled Error)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MAE / MAE(наивный прогноз)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Безразмерная; сравнение с базовой моделью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Сравнение прогнозов временных рядов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R² (коэффициент детерминации)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1 − Σ(y − ŷ)² / Σ(y − ȳ)²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Доля дисперсии, объяснённая моделью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Линейные модели; общая оценка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Adjusted R²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R², корректированный на число признаков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Штрафует за избыточные признаки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Сравнение моделей разной сложности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Median Absolute Error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median(|yᵢ − ŷᵢ|)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Робастна к выбросам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Сильно засорённые данные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Huber Loss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L2 для малых, L1 для больших ошибок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Балансирует MSE и MAE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Обучение робастных моделей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Pinball Loss (Quantile Loss)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асимметричная функция для τ-го квантиля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Прогноз квантилей, а не среднего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Quantile Regression; интервалы прогноза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Log-cosh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Σ log(cosh(yᵢ − ŷᵢ))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Гладкая аппроксимация Huber Loss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Дифференцируемая в каждой точке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2.3. Базовые метрики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MAE — средняя абсолютная ошибка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Самая интуитивная метрика: усреднённое абсолютное отклонение предсказаний от истины. Единицы измерения совпадают с единицами целевой переменной (рубли, градусы, дни). Главное преимущество — робастность к выбросам: единичная огромная ошибка не «утопит» среднее. Главный недостаток — недифференцируемость в нуле, что делает её менее удобной для обучения градиентными методами (хотя на практике это не проблема — подграды работают).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MSE — средняя квадратичная ошибка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Средний квадрат отклонения. Из-за возведения в квадрат сильно штрафует крупные ошибки: ошибка в 10 единиц даёт в 100 раз больше штрафа, чем ошибка в 1 единицу. Это полезно, когда крупные ошибки критически плохи (прогноз спроса, медицинские дозировки), но плохо при наличии выбросов. MSE — самая популярная функция потерь для обучения линейных моделей, нейросетей, градиентных бустингов.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RMSE — корень из MSE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Получается извлечением квадратного корня из MSE и возвращает единицы измерения в исходные. Самая популярная отчётная метрика регрессии в Kaggle-соревнованиях, бизнес-аналитике и научных публикациях. Чувствительна к выбросам как и MSE, но более интерпретируема.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MAPE — средняя абсолютная процентная ошибка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Безразмерная метрика, измеряемая в процентах. Удобна для бизнес-отчётности: «модель ошибается в среднем на 5%». Главные проблемы: (1) асимметричность — переоценка штрафуется иначе, чем недооценка; (2) деление на y → катастрофа при y близком к нулю или принимающем нулевые значения; (3) недопустима для y, могущего быть отрицательным. SMAPE и WMAPE — попытки исправить эти недостатки.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R² — коэффициент детерминации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Показывает долю дисперсии целевой переменной, объяснённую моделью. R² = 1 — идеальный прогноз; R² = 0 — модель не лучше среднего; R² &lt; 0 — модель хуже среднего (бывает!). В отличие от других метрик, R² безразмерен и сравним между разными задачами. Adjusted R² корректирует значение на количество признаков, штрафуя модели с лишними переменными. Главный недостаток R² — не учитывает абсолютную величину ошибки; модель может иметь R² = 0,99 и при этом систематически ошибаться на 100% в каждом примере (если разброс y огромный).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2.4. Робастные и продвинутые метрики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Median Absolute Error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Медианное (а не среднее) абсолютное отклонение. Максимально устойчиво к выбросам: даже если 30% наблюдений — выбросы, медиана покажет реальное качество модели. Применяется при работе с засорёнными данными или ненадёжными источниками.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Huber Loss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Гибридная функция: квадратичная (как MSE) для малых ошибок и линейная (как MAE) для больших. Параметр δ задаёт порог переключения. Huber Loss дифференцируема (что важно для обучения), не штрафует выбросы слишком сильно, и сходится быстрее MAE. Стандарт в робастной регрессии. Близкий вариант — Log-cosh Loss, гладкая всюду.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Pinball Loss (Quantile Loss)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Асимметричная функция потерь для прогноза заданного квантиля τ распределения y. При τ = 0,5 — это MAE для медианы; при τ = 0,9 — модель учится прогнозировать 90%-й квантиль (то значение, которое будет не превышено в 90% случаев). Используется в задачах с неопределённостью, где нужны интервалы прогноза (Quantile Regression): прогноз спроса с разделением на оптимистичный и пессимистичный сценарии.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2.5. Метрики временных рядов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Прогнозирование временных рядов имеет свои особенности — данные упорядочены во времени, есть тренды и сезонность. Для них применяются дополнительные метрики: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MAPE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стандарт для бизнеса, но проблемы при y близких к 0;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SMAPE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симметричная версия MAPE, применяется в M-competitions (Makridakis);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MASE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(Mean Absolute Scaled Error, Hyndman, 2006) — безразмерная метрика, сравнивающая модель с наивным прогнозом (последнее значение для несезонных данных или значение прошлого периода для сезонных). MASE &lt; 1 означает, что модель лучше наивной;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WAPE / WMAPE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весовой MAPE, используется в логистике и SCM.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2.6. Метрики качества предсказательных интервалов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 задачах, где модель выдаёт не только точечный прогноз, но и интервал доверия (например, [lower, upper] с вероятностью 95%), оцениваются: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Coverage — доля наблюдений, попавших в прогнозный интервал;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Interval Score — баланс ширины интервала и его попадания в реальность;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CRPS (Continuous Ranked Probability Score) — для вероятностных прогнозов в виде распределений (стандарт в метеорологии).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2.7. Практическая реализация в scikit-learn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5F5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from sklearn.metrics import (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mean_absolute_error, mean_squared_error,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root_mean_squared_error,  # sklearn 1.4+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mean_absolute_percentage_error,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r2_score, median_absolute_error,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mean_pinball_loss,  # для квантильной регрессии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import numpy as np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y_true = [3.0, -0.5, 2.0, 7.0, 5.5]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y_pred = [2.5, 0.0, 2.1, 7.8, 5.2]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print(f"MAE:                {mean_absolute_error(y_true, y_pred):.4f}")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print(f"MSE:                {mean_squared_error(y_true, y_pred):.4f}")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print(f"RMSE:               {root_mean_squared_error(y_true, y_pred):.4f}")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print(f"MAPE:               {mean_absolute_percentage_error(y_true, y_pred):.4f}")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print(f"R²:                 {r2_score(y_true, y_pred):.4f}")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print(f"Median Absolute Err:{median_absolute_error(y_true, y_pred):.4f}")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Huber Loss (через scipy / вручную)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def huber_loss(y_true, y_pred, delta=1.0):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err = np.abs(np.array(y_true) - np.array(y_pred))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return np.mean(np.where(err &lt;= delta,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            0.5 * err**2,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            delta * (err - 0.5 * delta)))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print(f"Huber Loss:         {huber_loss(y_true, y_pred):.4f}")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Pinball Loss для квантиля 0.9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print(f"Pinball@0.9:        {mean_pinball_loss(y_true, y_pred, alpha=0.9):.4f}")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2.8. Как выбрать метрику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Хочешь интерпретируемость в исходных единицах → MAE или RMSE;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Выбросы — реальный сигнал, нужно штрафовать → MSE / RMSE;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Выбросы — шум, нужно игнорировать → MAE / Median Absolute Error / Huber;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Нужно понимать долю объяснённой дисперсии → R² / Adjusted R²;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Бизнес-отчёт в процентах → MAPE / SMAPE / WMAPE (с осторожностью к нулям);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Прогноз временных рядов → MASE, SMAPE;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Нужны интервалы прогноза → Pinball Loss + Coverage;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Соревнование / Kaggle → задаётся организаторами (обычно RMSE, MAPE, R²);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Бизнес-задача → перевод в денежный эквивалент.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Выводы по вопросу 2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Метрики оценки регрессии измеряют качество предсказания непрерывной величины через разности между предсказаниями и истинами. Базовые метрики: MAE (робастная, в исходных единицах), MSE (штрафует крупные ошибки, основа обучения), RMSE (популярная отчётная), MAPE / SMAPE / WMAPE (процентные, бизнес-ориентированные). Универсальная метрика — R² (коэффициент детерминации), показывающий долю объяснённой дисперсии; для сравнения моделей разной сложности применяется Adjusted R². Робастные метрики: Median Absolute Error и Huber Loss балансируют между MSE и MAE. Для квантильной регрессии — Pinball Loss. Для временных рядов — MASE (Hyndman, 2006), SMAPE (M-competitions Макридакиса). Все метрики реализованы в sklearn.metrics. Выбор метрики определяется природой задачи: интерпретируемость, толерантность к выбросам, бизнес-смысл. На практике часто используют несколько метрик одновременно для всесторонней оценки модели.</w:t>
      </w:r>
    </w:p>
    <w:p>
      <w:r>
        <w:br w:type="page"/>
      </w:r>
    </w:p>
    <w:p>
      <w:pPr>
        <w:pStyle w:val="Heading1"/>
        <w:spacing w:after="240" w:before="360" w:line="360"/>
        <w:jc w:val="center"/>
      </w:pPr>
      <w:r>
        <w:rPr>
          <w:rFonts w:ascii="Times New Roman" w:cs="Times New Roman" w:eastAsia="Times New Roman" w:hAnsi="Times New Roman"/>
          <w:b/>
          <w:bCs/>
          <w:sz w:val="32"/>
          <w:szCs w:val="32"/>
        </w:rPr>
        <w:t xml:space="preserve">Вопрос 3. Python-компонент «Счётчик» (Tkinter)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3.1. Постановка задачи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Требуется реализовать компонент «Счётчик», отображающий текущее число и две кнопки — «Увеличить» и «Уменьшить». При нажатии на кнопки число должно соответственно увеличиваться или уменьшаться на единицу. По условию задания разрешён любой стек; в качестве платформы выбран Python с библиотекой Tkinter — стандартной библиотекой GUI Python, не требующей установки дополнительных пакетов. Это даёт переносимость на Windows, Linux и macOS и подходит для академической работы.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3.2. Архитектурное решение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Компонент построен по следующим принципам: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Объектно-ориентированный подход.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Вся логика инкапсулирована в классе Counter, в конструктор которого передаётся корневое окно tk.Tk. Это упрощает повторное использование и тестирование;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Единственное состояние — атрибут self.count.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Целое число, инициализированное нулём. Изменяется только через методы increment(), decrement(), reset(). Каждое изменение сопровождается вызовом _update_display();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Три обработчика — три метода класса.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increment() (увеличение на 1), decrement() (уменьшение на 1), reset() (сброс в 0). Привязываются к кнопкам через параметр command=;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Виджеты Tkinter.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tk.Frame (контейнер-карточка), tk.Label (подпись и крупное число), tk.Button (три кнопки: «+», «−», «Сбросить»);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Цветовая индикация числа.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Цвет крупного числа меняется в зависимости от знака: положительное — зелёный (COLOR_NUM_POS), отрицательное — красный (COLOR_NUM_NEG), ноль — тёмно-серый (COLOR_NUM_ZERO). Это даёт мгновенную визуальную обратную связь;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Кнопка «Сбросить» с состоянием disabled.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При count = 0 кнопка отключена (state="disabled"), что предотвращает бесполезные клики и визуально показывает, что сбрасывать нечего;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Горячие клавиши через bind().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Помимо мыши, поддерживаются: «+» / «−» на основной клавиатуре, стрелки «↑» / «↓», «R» / «r» для сброса. Реализованы привязкой к корневому окну self.root.bind();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Доступность.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cursor="hand2" меняет курсор на «руку» при наведении на кнопки, activebackground задаёт цвет при нажатии — даёт визуальную обратную связь.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3.3. Полный исходный код (counter_tk.py)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5F5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import tkinter as tk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----- Цветовая палитра -----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COLOR_BG       = "#F5F7FA"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COLOR_CARD     = "#FFFFFF"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COLOR_HINT     = "#6B7280"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COLOR_BTN_PLUS = "#2563EB"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COLOR_BTN_PLUS_HOV = "#1E40AF"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COLOR_BTN_MINUS = "#DC2626"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COLOR_BTN_MINUS_HOV = "#991B1B"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Цвет числа в зависимости от знака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COLOR_NUM_POS  = "#059669"   # положительное — зелёный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COLOR_NUM_NEG  = "#DC2626"   # отрицательное — красный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COLOR_NUM_ZERO = "#1F2937"   # ноль — тёмно-серый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class Counter: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"""Компонент-счётчик с инкрементом и декрементом."""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def __init__(self, root: tk.Tk):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self.root = root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self.root.title("Счётчик")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self.root.geometry("420x420")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self.root.configure(bg=COLOR_BG)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self.count = 0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# Карточка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card = tk.Frame(root, bg=COLOR_CARD, padx=30, pady=30,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        highlightbackground="#E5E7EB",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        highlightthickness=1)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card.pack(fill="both", expand=True, padx=25, pady=25)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# Подпись «Счётчик»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tk.Label(card, text="Счётчик",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 font=("Arial", 14, "bold"),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 bg=COLOR_CARD, fg=COLOR_HINT).pack(pady=(5, 5))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# Текущее значение — крупно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self.count_label = tk.Label(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card, text="0",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font=("Arial", 64, "bold"),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bg=COLOR_CARD, fg=COLOR_NUM_ZERO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self.count_label.pack(pady=20)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# Контейнер для кнопок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btn_frame = tk.Frame(card, bg=COLOR_CARD)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btn_frame.pack(fill="x", pady=10)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# Кнопка «−»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self.btn_minus = tk.Button(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btn_frame, text="−",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command=self.decrement,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bg=COLOR_BTN_MINUS, fg="white",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font=("Arial", 22, "bold"),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bd=0, cursor="hand2",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activebackground=COLOR_BTN_MINUS_HOV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self.btn_minus.pack(side="left", fill="x", expand=True,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            ipady=12, padx=(0, 5))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# Кнопка «+»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self.btn_plus = tk.Button(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btn_frame, text="+",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command=self.increment,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bg=COLOR_BTN_PLUS, fg="white",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font=("Arial", 22, "bold"),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bd=0, cursor="hand2",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activebackground=COLOR_BTN_PLUS_HOV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self.btn_plus.pack(side="left", fill="x", expand=True,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           ipady=12, padx=(5, 0))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# Подписи к кнопкам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labels = tk.Frame(card, bg=COLOR_CARD)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labels.pack(fill="x")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tk.Label(labels, text="Уменьшить", font=("Arial", 9),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 bg=COLOR_CARD, fg=COLOR_HINT).pack(side="left",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                                     fill="x", expand=True)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tk.Label(labels, text="Увеличить", font=("Arial", 9),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 bg=COLOR_CARD, fg=COLOR_HINT).pack(side="left",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                                     fill="x", expand=True)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# Кнопка сброса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self.btn_reset = tk.Button(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card, text="Сбросить",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command=self.reset,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bg=COLOR_CARD, fg=COLOR_HINT,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font=("Arial", 10),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bd=1, relief="solid", cursor="hand2"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self.btn_reset.pack(fill="x", pady=(15, 0), ipady=4)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# Горячие клавиши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self.root.bind("&lt;plus&gt;",  lambda e: self.increment())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self.root.bind("&lt;minus&gt;", lambda e: self.decrement())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self.root.bind("&lt;Up&gt;",    lambda e: self.increment())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self.root.bind("&lt;Down&gt;",  lambda e: self.decrement())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self.root.bind("&lt;r&gt;",     lambda e: self.reset())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self.root.bind("&lt;R&gt;",     lambda e: self.reset())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def increment(self):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self.count += 1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self._update_display()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def decrement(self):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self.count -= 1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self._update_display()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def reset(self):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self.count = 0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self._update_display()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def _update_display(self):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"""Обновить отображение числа с цветовой индикацией."""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self.count_label.configure(text=str(self.count))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if self.count &gt; 0: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self.count_label.configure(fg=COLOR_NUM_POS)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elif self.count &lt; 0: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self.count_label.configure(fg=COLOR_NUM_NEG)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else: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self.count_label.configure(fg=COLOR_NUM_ZERO)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# Кнопка сброса — disabled при нуле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if self.count == 0: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self.btn_reset.configure(state="disabled")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else: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self.btn_reset.configure(state="normal")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if __name__ == "__main__":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root = tk.Tk()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Counter(root)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root.mainloop()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3.4. Состояния компонента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Компонент имеет одно состояние — целое число count. На рисунке 1 показаны три типичных значения с цветовой индикацией: начальное (0, серое), после нажатий «+» (5, зелёное), после нажатий «−» (−3, красное).</w:t>
      </w:r>
    </w:p>
    <w:p>
      <w:pPr>
        <w:spacing w:after="120" w:before="240"/>
        <w:jc w:val="center"/>
      </w:pPr>
      <w:r>
        <w:drawing>
          <wp:inline distT="0" distB="0" distL="0" distR="0">
            <wp:extent cx="6096000" cy="2657475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265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40"/>
        <w:jc w:val="center"/>
      </w:pPr>
      <w:r>
        <w:rPr>
          <w:rFonts w:ascii="Times New Roman" w:cs="Times New Roman" w:eastAsia="Times New Roman" w:hAnsi="Times New Roman"/>
          <w:i/>
          <w:iCs/>
          <w:sz w:val="24"/>
          <w:szCs w:val="24"/>
        </w:rPr>
        <w:t xml:space="preserve">Рисунок 1 — Три состояния Tkinter-компонента Counter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3.5. Объяснение ключевых конструкций Tkinter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Корневое окно tk.Tk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tk.Tk() — корневое окно приложения. Методы конфигурации: title() — заголовок, geometry() — начальные размеры, configure(bg=...) — цвет фона. Главный цикл обработки событий запускается через root.mainloop() и выполняется до закрытия окна.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Контейнер tk.Frame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tk.Frame — контейнер для группировки виджетов и задания общих параметров. В программе используется главная карточка с белым фоном, отступы padx/pady, рамка через highlightbackground и highlightthickness. Это шаблон проектирования «составной виджет», аналогичный HTML-блоку.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Кнопка tk.Button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tk.Button(parent, text="+", command=self.increment, bg=..., fg=...) — кнопка с привязанным обработчиком. Ключевые параметры: command — функция-обработчик клика; cursor="hand2" — курсор «рука» при наведении; activebackground — цвет в момент нажатия; bd=0 — убирает стандартную рамку; state="disabled" — отключение кнопки.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Менеджеры компоновки: pack и опции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Метод .pack() размещает виджет в родителе. Опции: side="left" — горизонтальное расположение, fill="x" — растягивание по горизонтали, expand=True — занимает доступное пространство, ipady — внутренний отступ. В программе кнопки «+» и «−» размещены через side="left" + expand=True для равной ширины.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Привязка событий root.bind()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self.root.bind("&lt;plus&gt;", lambda e: self.increment()) — привязка клавиши «+» ко всему окну. Префикс &lt; &gt; обозначает специальное событие. Используются: &lt;plus&gt;, &lt;minus&gt;, &lt;Up&gt;, &lt;Down&gt;, &lt;r&gt;, &lt;R&gt;. Лямбда нужна потому, что bind передаёт обработчику объект события, а increment() аргументов не принимает.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Метод .configure() для изменения свойств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После создания виджета его свойства можно изменять через метод configure() (или эквивалентный []). Например, self.count_label.configure(text=str(self.count), fg=color) — обновляет текст и цвет одновременно. Это аналог setState в React, но напрямую меняющий конкретные свойства виджета.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3.6. Возможные расширения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Шаг изменения (параметр step) — увеличение/уменьшение на любое значение через дополнительные кнопки «+10» / «−10»;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Минимум и максимум с автоматической блокировкой кнопок на границах;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Анимация изменения числа через after()-таймеры (плавный переход цвета);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История изменений с возможностью отмены (undo/redo) через collections.deque;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Сохранение значения в файл (json/pickle) между запусками программы;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Долгое нажатие на кнопку — автоповтор инкремента (через after-таймеры);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Несколько счётчиков в одном окне (например, табы через ttk.Notebook);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Тёмная тема через ttk.Style или замену на CustomTkinter;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Озвучивание изменений (модуль pyttsx3 — синтез речи);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Тесты на unittest без запуска mainloop (вызов методов increment/decrement напрямую);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Упаковка в исполняемый файл через PyInstaller для распространения без установки Python.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3.7. Запуск программы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5F5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Tkinter входит в стандартную библиотеку Python — установка не требуется.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Проверка наличия: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python -c "import tkinter; print(tkinter.TkVersion)"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Запуск: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python counter_tk.py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Если Tkinter не установлен (Linux):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sudo apt install python3-tk        # Debian/Ubuntu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sudo dnf install python3-tkinter   # Fedora/RHEL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Выводы по вопросу 3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Компонент Counter реализован на Python с использованием стандартной библиотеки Tkinter — без внешних зависимостей. Архитектура построена на ООП: класс Counter инкапсулирует виджеты и логику. Состояние — единственный целочисленный атрибут self.count, изменяемый тремя методами: increment(), decrement(), reset(). После каждого изменения вызывается _update_display(), который обновляет текст и цвет крупной метки (зелёный для положительных, красный для отрицательных, серый для нуля) и блокирует/разблокирует кнопку «Сбросить». Виджеты: tk.Frame (карточка), tk.Label (подпись и число), tk.Button (три кнопки с cursor="hand2" и activebackground для визуальной обратной связи). Компоновка через .pack() с side/fill/expand. Дополнительно реализованы горячие клавиши через root.bind() (+, −, ↑, ↓, R). Компонент кросс-платформенный (Windows, Linux, macOS), легко расширяется до шага, ограничений, истории undo/redo, анимаций, тёмной темы через CustomTkinter и упаковки в exe через PyInstaller.</w:t>
      </w:r>
    </w:p>
    <w:sectPr>
      <w:headerReference w:type="default" r:id="rId7"/>
      <w:footerReference w:type="default" r:id="rId8"/>
      <w:pgSz w:w="11906" w:h="16838" w:orient="portrait"/>
      <w:pgMar w:top="1134" w:right="1134" w:bottom="1134" w:left="1701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Times New Roman" w:cs="Times New Roman" w:eastAsia="Times New Roman" w:hAnsi="Times New Roman"/>
        <w:sz w:val="22"/>
        <w:szCs w:val="22"/>
      </w:rPr>
      <w:t xml:space="preserve">Стр. </w:t>
      <w:fldChar w:fldCharType="begin"/>
      <w:instrText xml:space="preserve">PAGE</w:instrText>
      <w:fldChar w:fldCharType="separate"/>
      <w:fldChar w:fldCharType="end"/>
      <w:t xml:space="preserve"> из </w:t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Times New Roman" w:cs="Times New Roman" w:eastAsia="Times New Roman" w:hAnsi="Times New Roman"/>
        <w:i/>
        <w:iCs/>
        <w:sz w:val="22"/>
        <w:szCs w:val="22"/>
      </w:rPr>
      <w:t xml:space="preserve">Билет № 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8"/>
        <w:szCs w:val="28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 w:line="360"/>
      <w:jc w:val="center"/>
      <w:outlineLvl w:val="0"/>
    </w:pPr>
    <w:rPr>
      <w:rFonts w:ascii="Times New Roman" w:cs="Times New Roman" w:eastAsia="Times New Roman" w:hAnsi="Times New Roman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80" w:before="300" w:line="360"/>
      <w:outlineLvl w:val="1"/>
    </w:pPr>
    <w:rPr>
      <w:rFonts w:ascii="Times New Roman" w:cs="Times New Roman" w:eastAsia="Times New Roman" w:hAnsi="Times New Roman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spacing w:after="120" w:before="240" w:line="360"/>
      <w:outlineLvl w:val="2"/>
    </w:pPr>
    <w:rPr>
      <w:rFonts w:ascii="Times New Roman" w:cs="Times New Roman" w:eastAsia="Times New Roman" w:hAnsi="Times New Roman"/>
      <w:b/>
      <w:bCs/>
      <w:i/>
      <w:iCs/>
      <w:sz w:val="28"/>
      <w:szCs w:val="28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c902d13c6cdc8e73f658ecba1f659e0b604605b3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2026-05-27T09:39:43.440Z</dcterms:created>
  <dcterms:modified xsi:type="dcterms:W3CDTF">2026-05-27T09:39:43.440Z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