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1200"/>
        <w:jc w:val="center"/>
      </w:pPr>
      <w:r>
        <w:rPr>
          <w:rFonts w:ascii="Times New Roman" w:cs="Times New Roman" w:eastAsia="Times New Roman" w:hAnsi="Times New Roman"/>
          <w:b/>
          <w:bCs/>
          <w:sz w:val="24"/>
          <w:szCs w:val="24"/>
        </w:rPr>
        <w:t xml:space="preserve">Министерство цифрового развития, связи и массовых коммуникаций</w:t>
      </w:r>
    </w:p>
    <w:p>
      <w:pPr>
        <w:spacing w:after="200"/>
        <w:jc w:val="center"/>
      </w:pPr>
      <w:r>
        <w:rPr>
          <w:rFonts w:ascii="Times New Roman" w:cs="Times New Roman" w:eastAsia="Times New Roman" w:hAnsi="Times New Roman"/>
          <w:b/>
          <w:bCs/>
          <w:sz w:val="24"/>
          <w:szCs w:val="24"/>
        </w:rPr>
        <w:t xml:space="preserve">Российской Федерации</w:t>
      </w:r>
    </w:p>
    <w:p>
      <w:pPr>
        <w:spacing w:after="200"/>
        <w:jc w:val="center"/>
      </w:pPr>
      <w:r>
        <w:rPr>
          <w:rFonts w:ascii="Times New Roman" w:cs="Times New Roman" w:eastAsia="Times New Roman" w:hAnsi="Times New Roman"/>
          <w:sz w:val="24"/>
          <w:szCs w:val="24"/>
        </w:rPr>
        <w:t xml:space="preserve">ФГБОУ ВО «Сибирский государственный университет телекоммуникаций и информатики»</w:t>
      </w:r>
    </w:p>
    <w:p>
      <w:pPr>
        <w:spacing w:after="1000"/>
        <w:jc w:val="center"/>
      </w:pPr>
      <w:r>
        <w:rPr>
          <w:rFonts w:ascii="Times New Roman" w:cs="Times New Roman" w:eastAsia="Times New Roman" w:hAnsi="Times New Roman"/>
          <w:sz w:val="24"/>
          <w:szCs w:val="24"/>
        </w:rPr>
        <w:t xml:space="preserve">Уральский технический институт связи и информатики (УрТИСИ СибГУТИ)</w:t>
      </w:r>
    </w:p>
    <w:p>
      <w:pPr>
        <w:spacing w:after="200"/>
        <w:jc w:val="center"/>
      </w:pPr>
      <w:r>
        <w:rPr>
          <w:rFonts w:ascii="Times New Roman" w:cs="Times New Roman" w:eastAsia="Times New Roman" w:hAnsi="Times New Roman"/>
          <w:b/>
          <w:bCs/>
          <w:sz w:val="36"/>
          <w:szCs w:val="36"/>
        </w:rPr>
        <w:t xml:space="preserve">ОТВЕТЫ НА ЭКЗАМЕНАЦИОННЫЙ БИЛЕТ № 20</w:t>
      </w:r>
    </w:p>
    <w:p>
      <w:pPr>
        <w:spacing w:after="400"/>
        <w:jc w:val="center"/>
      </w:pPr>
      <w:r>
        <w:rPr>
          <w:rFonts w:ascii="Times New Roman" w:cs="Times New Roman" w:eastAsia="Times New Roman" w:hAnsi="Times New Roman"/>
          <w:i/>
          <w:iCs/>
          <w:sz w:val="26"/>
          <w:szCs w:val="26"/>
        </w:rPr>
        <w:t xml:space="preserve">Итоговый государственный междисциплинарный экзамен</w:t>
      </w:r>
    </w:p>
    <w:p>
      <w:pPr>
        <w:spacing w:after="200"/>
        <w:jc w:val="center"/>
      </w:pPr>
      <w:r>
        <w:rPr>
          <w:rFonts w:ascii="Times New Roman" w:cs="Times New Roman" w:eastAsia="Times New Roman" w:hAnsi="Times New Roman"/>
          <w:sz w:val="26"/>
          <w:szCs w:val="26"/>
        </w:rPr>
        <w:t xml:space="preserve">Направление подготовки 09.04.01 «Информатика и вычислительная техника»</w:t>
      </w:r>
    </w:p>
    <w:p>
      <w:pPr>
        <w:spacing w:after="800"/>
        <w:jc w:val="center"/>
      </w:pPr>
      <w:r>
        <w:rPr>
          <w:rFonts w:ascii="Times New Roman" w:cs="Times New Roman" w:eastAsia="Times New Roman" w:hAnsi="Times New Roman"/>
          <w:sz w:val="26"/>
          <w:szCs w:val="26"/>
        </w:rPr>
        <w:t xml:space="preserve">Профиль: «Инженерия программного обеспечения и информационных систем»</w:t>
      </w:r>
    </w:p>
    <w:p>
      <w:pPr>
        <w:spacing w:after="240" w:before="600"/>
      </w:pPr>
      <w:r>
        <w:rPr>
          <w:rFonts w:ascii="Times New Roman" w:cs="Times New Roman" w:eastAsia="Times New Roman" w:hAnsi="Times New Roman"/>
          <w:b/>
          <w:bCs/>
          <w:sz w:val="28"/>
          <w:szCs w:val="28"/>
        </w:rPr>
        <w:t xml:space="preserve">Вопросы билета:</w:t>
      </w:r>
    </w:p>
    <w:p>
      <w:pPr>
        <w:spacing w:after="120"/>
        <w:ind w:firstLine="720"/>
        <w:jc w:val="both"/>
      </w:pPr>
      <w:r>
        <w:rPr>
          <w:rFonts w:ascii="Times New Roman" w:cs="Times New Roman" w:eastAsia="Times New Roman" w:hAnsi="Times New Roman"/>
          <w:sz w:val="28"/>
          <w:szCs w:val="28"/>
        </w:rPr>
        <w:t xml:space="preserve">1. Проблемы интеллектуального права.</w:t>
      </w:r>
    </w:p>
    <w:p>
      <w:pPr>
        <w:spacing w:after="120"/>
        <w:ind w:firstLine="720"/>
        <w:jc w:val="both"/>
      </w:pPr>
      <w:r>
        <w:rPr>
          <w:rFonts w:ascii="Times New Roman" w:cs="Times New Roman" w:eastAsia="Times New Roman" w:hAnsi="Times New Roman"/>
          <w:sz w:val="28"/>
          <w:szCs w:val="28"/>
        </w:rPr>
        <w:t xml:space="preserve">2. Методы обеспечения конфиденциальности информации на сетевом уровне модели ВОС (OSI).</w:t>
      </w:r>
    </w:p>
    <w:p>
      <w:pPr>
        <w:spacing w:after="120"/>
        <w:ind w:firstLine="720"/>
        <w:jc w:val="both"/>
      </w:pPr>
      <w:r>
        <w:rPr>
          <w:rFonts w:ascii="Times New Roman" w:cs="Times New Roman" w:eastAsia="Times New Roman" w:hAnsi="Times New Roman"/>
          <w:sz w:val="28"/>
          <w:szCs w:val="28"/>
        </w:rPr>
        <w:t xml:space="preserve">3. Разработать диаграмму последовательности и диаграмму классов для системы «Продажа туристического продукта».</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1. Проблемы интеллектуального права</w:t>
      </w:r>
    </w:p>
    <w:p>
      <w:pPr>
        <w:pStyle w:val="Heading2"/>
        <w:spacing w:after="180" w:before="300" w:line="360"/>
      </w:pPr>
      <w:r>
        <w:rPr>
          <w:rFonts w:ascii="Times New Roman" w:cs="Times New Roman" w:eastAsia="Times New Roman" w:hAnsi="Times New Roman"/>
          <w:b/>
          <w:bCs/>
          <w:sz w:val="30"/>
          <w:szCs w:val="30"/>
        </w:rPr>
        <w:t xml:space="preserve">1.1. Понятие интеллектуального права</w:t>
      </w:r>
    </w:p>
    <w:p>
      <w:pPr>
        <w:spacing w:after="120" w:line="360"/>
        <w:ind w:firstLine="720"/>
        <w:jc w:val="both"/>
      </w:pPr>
      <w:r>
        <w:rPr>
          <w:rFonts w:ascii="Times New Roman" w:cs="Times New Roman" w:eastAsia="Times New Roman" w:hAnsi="Times New Roman"/>
          <w:sz w:val="28"/>
          <w:szCs w:val="28"/>
        </w:rPr>
        <w:t xml:space="preserve">Интеллектуальное право (право интеллектуальной собственности) — это совокупность правовых норм, регулирующих отношения, связанные с созданием, использованием и защитой результатов интеллектуальной деятельности (РИД) и средств индивидуализации. В отличие от вещного права, объектами интеллектуального права являются нематериальные блага: произведения литературы и искусства, изобретения, программы для ЭВМ, товарные знаки. Эти объекты обладают особыми свойствами: они могут одновременно использоваться неограниченным числом лиц, легко копируются, не теряются при использовании.</w:t>
      </w:r>
    </w:p>
    <w:p>
      <w:pPr>
        <w:spacing w:after="120" w:line="360"/>
        <w:ind w:firstLine="720"/>
        <w:jc w:val="both"/>
      </w:pPr>
      <w:r>
        <w:rPr>
          <w:rFonts w:ascii="Times New Roman" w:cs="Times New Roman" w:eastAsia="Times New Roman" w:hAnsi="Times New Roman"/>
          <w:sz w:val="28"/>
          <w:szCs w:val="28"/>
        </w:rPr>
        <w:t xml:space="preserve">Система интеллектуальных прав в РФ кодифицирована в Части 4 Гражданского кодекса РФ, вступившей в силу 1 января 2008 года. До этого действовали разрозненные законы: «Об авторском праве и смежных правах», «О правовой охране программ для ЭВМ и баз данных», «Патентный закон» и др. Кодификация объединила все нормы в одном документе. Это самый объёмный раздел ГК — более 300 статей (ст. 1225–1551).</w:t>
      </w:r>
    </w:p>
    <w:p>
      <w:pPr>
        <w:pStyle w:val="Heading2"/>
        <w:spacing w:after="180" w:before="300" w:line="360"/>
      </w:pPr>
      <w:r>
        <w:rPr>
          <w:rFonts w:ascii="Times New Roman" w:cs="Times New Roman" w:eastAsia="Times New Roman" w:hAnsi="Times New Roman"/>
          <w:b/>
          <w:bCs/>
          <w:sz w:val="30"/>
          <w:szCs w:val="30"/>
        </w:rPr>
        <w:t xml:space="preserve">1.2. Объекты интеллектуальных прав</w:t>
      </w:r>
    </w:p>
    <w:p>
      <w:pPr>
        <w:spacing w:after="120" w:line="360"/>
        <w:ind w:firstLine="720"/>
        <w:jc w:val="both"/>
      </w:pPr>
      <w:r>
        <w:rPr>
          <w:rFonts w:ascii="Times New Roman" w:cs="Times New Roman" w:eastAsia="Times New Roman" w:hAnsi="Times New Roman"/>
          <w:sz w:val="28"/>
          <w:szCs w:val="28"/>
        </w:rPr>
        <w:t xml:space="preserve">Статья 1225 ГК РФ перечисляет шестнадцать охраняемых объектов. В таблице представлены основные категории:</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3000"/>
        <w:gridCol w:w="2000"/>
        <w:gridCol w:w="24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2"/>
                <w:szCs w:val="22"/>
              </w:rPr>
              <w:t xml:space="preserve">Институт</w:t>
            </w:r>
          </w:p>
        </w:tc>
        <w:tc>
          <w:tcPr>
            <w:tcW w:type="dxa" w:w="0"/>
            <w:tcBorders>
              <w:top w:val="single" w:color="888888" w:sz="4"/>
              <w:left w:val="single" w:color="888888" w:sz="4"/>
              <w:bottom w:val="single" w:color="888888" w:sz="4"/>
              <w:right w:val="single" w:color="888888" w:sz="4"/>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2"/>
                <w:szCs w:val="22"/>
              </w:rPr>
              <w:t xml:space="preserve">Объекты</w:t>
            </w:r>
          </w:p>
        </w:tc>
        <w:tc>
          <w:tcPr>
            <w:tcW w:type="dxa" w:w="0"/>
            <w:tcBorders>
              <w:top w:val="single" w:color="888888" w:sz="4"/>
              <w:left w:val="single" w:color="888888" w:sz="4"/>
              <w:bottom w:val="single" w:color="888888" w:sz="4"/>
              <w:right w:val="single" w:color="888888" w:sz="4"/>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2"/>
                <w:szCs w:val="22"/>
              </w:rPr>
              <w:t xml:space="preserve">Срок охраны (РФ)</w:t>
            </w:r>
          </w:p>
        </w:tc>
        <w:tc>
          <w:tcPr>
            <w:tcW w:type="dxa" w:w="0"/>
            <w:tcBorders>
              <w:top w:val="single" w:color="888888" w:sz="4"/>
              <w:left w:val="single" w:color="888888" w:sz="4"/>
              <w:bottom w:val="single" w:color="888888" w:sz="4"/>
              <w:right w:val="single" w:color="888888" w:sz="4"/>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2"/>
                <w:szCs w:val="22"/>
              </w:rPr>
              <w:t xml:space="preserve">Регистрация</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Авторское право</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Произведения литературы, музыки, кино, программы для ЭВМ, базы данных</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Жизнь автора + 70 лет</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Не требуется (возникает автоматически); возможна по желанию</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Смежные права</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Исполнения, фонограммы, эфирное вещание, базы данных (изготовителя)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50–70 лет</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Не требуется</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Патентное право</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Изобретения, полезные модели, промышленные образцы</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20 / 10 / 25 лет</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Обязательная (Роспатент)</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Товарные знаки</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Словесные, изобразительные, комбинированные обозначения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10 лет, продлевается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Обязательная (Роспатент)</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Фирменные наименования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Название юридического лица в коммерческой деятельности</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Срок существования юр. лица</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Через ЕГРЮЛ (ФНС)</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Коммерческие обозначения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Обозначения предприятий (не путать с товарным знаком)</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Срок использования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Не регистрируются</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Селекционные достижения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Сорта растений, породы животных</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30–35 лет</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Госсорткомиссия</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Топологии ИС</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Топологии интегральных микросхем</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10 лет</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Роспатент</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Секреты производства</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Ноу-хау, сведения о технологии, организации, финансах</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Срок конфиденциальности</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Не регистрируются; режим коммерческой тайны (ФЗ-98)</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Географические указания / НМПТ</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Указания и наименования места происхождения товара (Тульский пряник, Хохлома)</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10 лет, продлевается</w:t>
            </w:r>
          </w:p>
        </w:tc>
        <w:tc>
          <w:tcPr>
            <w:tcW w:type="dxa" w:w="0"/>
            <w:tcBorders>
              <w:top w:val="single" w:color="888888" w:sz="4"/>
              <w:left w:val="single" w:color="888888" w:sz="4"/>
              <w:bottom w:val="single" w:color="888888" w:sz="4"/>
              <w:right w:val="single" w:color="888888" w:sz="4"/>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Роспатент</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1.3. Российская нормативная база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Часть 4 ГК РФ (ст. 1225–1551) — основной кодекс интеллектуальной собственности с 2008 года;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ФЗ-149 «Об информации, ИТ и о защите информации» — ст. 15.2 о реестре пиратских ресурсов;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ФЗ-187 (антипиратский, 2013) — внесудебная блокировка пиратских сайтов;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ФЗ-98 «О коммерческой тайне» — режим охраны секретов производства;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УК РФ ст. 146 — нарушение авторских и смежных прав (до 6 лет), ст. 147 — нарушение изобретательских и патентных прав, ст. 180 — незаконное использование товарных знаков;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КоАП РФ ст. 7.12 — административная ответственность за нарушения авторских прав;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Постановление Пленума ВС РФ № 10 от 23.04.2019 — толкование судебной практики по интеллектуальной собственности;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Суд по интеллектуальным правам (СИП) — специализированный суд при ВС РФ, действует с 03.07.2013.</w:t>
      </w:r>
    </w:p>
    <w:p>
      <w:pPr>
        <w:pStyle w:val="Heading2"/>
        <w:spacing w:after="180" w:before="300" w:line="360"/>
      </w:pPr>
      <w:r>
        <w:rPr>
          <w:rFonts w:ascii="Times New Roman" w:cs="Times New Roman" w:eastAsia="Times New Roman" w:hAnsi="Times New Roman"/>
          <w:b/>
          <w:bCs/>
          <w:sz w:val="30"/>
          <w:szCs w:val="30"/>
        </w:rPr>
        <w:t xml:space="preserve">1.4. Государственные органы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Роспатент </w:t>
      </w:r>
      <w:r>
        <w:rPr>
          <w:rFonts w:ascii="Times New Roman" w:cs="Times New Roman" w:eastAsia="Times New Roman" w:hAnsi="Times New Roman"/>
          <w:sz w:val="28"/>
          <w:szCs w:val="28"/>
        </w:rPr>
        <w:t xml:space="preserve">(Федеральная служба по интеллектуальной собственности) — регистрация патентов, товарных знаков, программ для ЭВМ, БД, ведение государственных реестров;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ФИПС </w:t>
      </w:r>
      <w:r>
        <w:rPr>
          <w:rFonts w:ascii="Times New Roman" w:cs="Times New Roman" w:eastAsia="Times New Roman" w:hAnsi="Times New Roman"/>
          <w:sz w:val="28"/>
          <w:szCs w:val="28"/>
        </w:rPr>
        <w:t xml:space="preserve">(Федеральный институт промышленной собственности) — экспертиза заявок при Роспатенте;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Минцифры России </w:t>
      </w:r>
      <w:r>
        <w:rPr>
          <w:rFonts w:ascii="Times New Roman" w:cs="Times New Roman" w:eastAsia="Times New Roman" w:hAnsi="Times New Roman"/>
          <w:sz w:val="28"/>
          <w:szCs w:val="28"/>
        </w:rPr>
        <w:t xml:space="preserve">— Единый реестр российского ПО (с 2016 года; включает на 2025 ~25 000 продуктов), Реестр аккредитованных IT-компаний;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Министерство культуры </w:t>
      </w:r>
      <w:r>
        <w:rPr>
          <w:rFonts w:ascii="Times New Roman" w:cs="Times New Roman" w:eastAsia="Times New Roman" w:hAnsi="Times New Roman"/>
          <w:sz w:val="28"/>
          <w:szCs w:val="28"/>
        </w:rPr>
        <w:t xml:space="preserve">— реестр прокатных удостоверений на фильмы;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Госсорткомиссия </w:t>
      </w:r>
      <w:r>
        <w:rPr>
          <w:rFonts w:ascii="Times New Roman" w:cs="Times New Roman" w:eastAsia="Times New Roman" w:hAnsi="Times New Roman"/>
          <w:sz w:val="28"/>
          <w:szCs w:val="28"/>
        </w:rPr>
        <w:t xml:space="preserve">— реестр селекционных достижений;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Суд по интеллектуальным правам (СИП) </w:t>
      </w:r>
      <w:r>
        <w:rPr>
          <w:rFonts w:ascii="Times New Roman" w:cs="Times New Roman" w:eastAsia="Times New Roman" w:hAnsi="Times New Roman"/>
          <w:sz w:val="28"/>
          <w:szCs w:val="28"/>
        </w:rPr>
        <w:t xml:space="preserve">— рассматривает споры в первой и кассационной инстанциях;</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Роскомнадзор </w:t>
      </w:r>
      <w:r>
        <w:rPr>
          <w:rFonts w:ascii="Times New Roman" w:cs="Times New Roman" w:eastAsia="Times New Roman" w:hAnsi="Times New Roman"/>
          <w:sz w:val="28"/>
          <w:szCs w:val="28"/>
        </w:rPr>
        <w:t xml:space="preserve">— ведение реестров запрещённой информации, в том числе антипиратских (ст. 15.2 ФЗ-149).</w:t>
      </w:r>
    </w:p>
    <w:p>
      <w:pPr>
        <w:pStyle w:val="Heading2"/>
        <w:spacing w:after="180" w:before="300" w:line="360"/>
      </w:pPr>
      <w:r>
        <w:rPr>
          <w:rFonts w:ascii="Times New Roman" w:cs="Times New Roman" w:eastAsia="Times New Roman" w:hAnsi="Times New Roman"/>
          <w:b/>
          <w:bCs/>
          <w:sz w:val="30"/>
          <w:szCs w:val="30"/>
        </w:rPr>
        <w:t xml:space="preserve">1.5. Международная система</w:t>
      </w:r>
    </w:p>
    <w:p>
      <w:pPr>
        <w:spacing w:after="120" w:line="360"/>
        <w:ind w:firstLine="720"/>
        <w:jc w:val="both"/>
      </w:pPr>
      <w:r>
        <w:rPr>
          <w:rFonts w:ascii="Times New Roman" w:cs="Times New Roman" w:eastAsia="Times New Roman" w:hAnsi="Times New Roman"/>
          <w:sz w:val="28"/>
          <w:szCs w:val="28"/>
        </w:rPr>
        <w:t xml:space="preserve">Россия — участник ключевых международных соглашений по интеллектуальной собственности: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Бернская конвенция об охране литературных и художественных произведений (1886) — основа международного авторского права; Россия присоединилась в 1995 году;</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Парижская конвенция об охране промышленной собственности (1883) — патенты и товарные знаки;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Договор ВОИС об авторском праве (WCT, 1996);</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Договор ВОИС об исполнениях и фонограммах (WPPT, 1996);</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Соглашение TRIPS (1994) — в рамках ВТО;</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Договор о патентной кооперации (PCT) — упрощённая международная подача патентных заявок;</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Мадридское соглашение и Протокол — международная регистрация товарных знаков;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ВОИС (Всемирная организация интеллектуальной собственности, WIPO, специализированное учреждение ООН с 1967).</w:t>
      </w:r>
    </w:p>
    <w:p>
      <w:pPr>
        <w:pStyle w:val="Heading2"/>
        <w:spacing w:after="180" w:before="300" w:line="360"/>
      </w:pPr>
      <w:r>
        <w:rPr>
          <w:rFonts w:ascii="Times New Roman" w:cs="Times New Roman" w:eastAsia="Times New Roman" w:hAnsi="Times New Roman"/>
          <w:b/>
          <w:bCs/>
          <w:sz w:val="30"/>
          <w:szCs w:val="30"/>
        </w:rPr>
        <w:t xml:space="preserve">1.6. Современные проблемы</w:t>
      </w:r>
    </w:p>
    <w:p>
      <w:pPr>
        <w:pStyle w:val="Heading3"/>
        <w:spacing w:after="120" w:before="240" w:line="360"/>
      </w:pPr>
      <w:r>
        <w:rPr>
          <w:rFonts w:ascii="Times New Roman" w:cs="Times New Roman" w:eastAsia="Times New Roman" w:hAnsi="Times New Roman"/>
          <w:b/>
          <w:bCs/>
          <w:i/>
          <w:iCs/>
          <w:sz w:val="28"/>
          <w:szCs w:val="28"/>
        </w:rPr>
        <w:t xml:space="preserve">Пиратство и контрафакт</w:t>
      </w:r>
    </w:p>
    <w:p>
      <w:pPr>
        <w:spacing w:after="120" w:line="360"/>
        <w:ind w:firstLine="720"/>
        <w:jc w:val="both"/>
      </w:pPr>
      <w:r>
        <w:rPr>
          <w:rFonts w:ascii="Times New Roman" w:cs="Times New Roman" w:eastAsia="Times New Roman" w:hAnsi="Times New Roman"/>
          <w:sz w:val="28"/>
          <w:szCs w:val="28"/>
        </w:rPr>
        <w:t xml:space="preserve">Цифровая эра радикально изменила экономику авторского права. Лёгкость копирования (одним нажатием) и распространения (через интернет) создали феномен массового интернет-пиратства: RuTracker, The Pirate Bay, Sci-Hub, торрент-трекеры, пиратские стриминги. Антипиратский закон 2013 года и его расширения 2014 (ФЗ-364) позволяют блокировать ресурсы внесудебно, но пираты применяют зеркала (ст. 15.6 предусматривает блокировку зеркал), VPN, CDN. Россия после 2022 года ужесточила позицию по защите авторского права для отечественного контента, но одновременно частично легализовала параллельный импорт и заблокированные сервисы (Netflix, Spotify контент — частичная толерантность).</w:t>
      </w:r>
    </w:p>
    <w:p>
      <w:pPr>
        <w:pStyle w:val="Heading3"/>
        <w:spacing w:after="120" w:before="240" w:line="360"/>
      </w:pPr>
      <w:r>
        <w:rPr>
          <w:rFonts w:ascii="Times New Roman" w:cs="Times New Roman" w:eastAsia="Times New Roman" w:hAnsi="Times New Roman"/>
          <w:b/>
          <w:bCs/>
          <w:i/>
          <w:iCs/>
          <w:sz w:val="28"/>
          <w:szCs w:val="28"/>
        </w:rPr>
        <w:t xml:space="preserve">Защита программ для ЭВМ</w:t>
      </w:r>
    </w:p>
    <w:p>
      <w:pPr>
        <w:spacing w:after="120" w:line="360"/>
        <w:ind w:firstLine="720"/>
        <w:jc w:val="both"/>
      </w:pPr>
      <w:r>
        <w:rPr>
          <w:rFonts w:ascii="Times New Roman" w:cs="Times New Roman" w:eastAsia="Times New Roman" w:hAnsi="Times New Roman"/>
          <w:sz w:val="28"/>
          <w:szCs w:val="28"/>
        </w:rPr>
        <w:t xml:space="preserve">Программы для ЭВМ охраняются как литературные произведения (ст. 1259 ГК). Особенности: автоматическое возникновение охраны, длительный срок (жизнь + 70 лет), охрана только формы выражения (исходного кода), но не алгоритмов и идей. Регистрация в Роспатенте необязательна, но рекомендуется для крупных продуктов. С 2016 года параллельно ведётся Единый реестр российского ПО Минцифры — для целей государственных закупок и налоговых льгот.</w:t>
      </w:r>
    </w:p>
    <w:p>
      <w:pPr>
        <w:pStyle w:val="Heading3"/>
        <w:spacing w:after="120" w:before="240" w:line="360"/>
      </w:pPr>
      <w:r>
        <w:rPr>
          <w:rFonts w:ascii="Times New Roman" w:cs="Times New Roman" w:eastAsia="Times New Roman" w:hAnsi="Times New Roman"/>
          <w:b/>
          <w:bCs/>
          <w:i/>
          <w:iCs/>
          <w:sz w:val="28"/>
          <w:szCs w:val="28"/>
        </w:rPr>
        <w:t xml:space="preserve">Открытые лицензии и open source</w:t>
      </w:r>
    </w:p>
    <w:p>
      <w:pPr>
        <w:spacing w:after="120" w:line="360"/>
        <w:ind w:firstLine="720"/>
        <w:jc w:val="both"/>
      </w:pPr>
      <w:r>
        <w:rPr>
          <w:rFonts w:ascii="Times New Roman" w:cs="Times New Roman" w:eastAsia="Times New Roman" w:hAnsi="Times New Roman"/>
          <w:sz w:val="28"/>
          <w:szCs w:val="28"/>
        </w:rPr>
        <w:t xml:space="preserve">Свободное и открытое программное обеспечение (FOSS) использует особый правовой механизм — открытые лицензии: GPL, MIT, Apache, BSD, MPL, AGPL. В ГК РФ открытые лицензии легализованы в ст. 1286.1 «Открытая лицензия на использование произведения науки, литературы или искусства». Сложные правовые вопросы: совместимость лицензий (нельзя смешивать GPL и проприетарный код), копилефт (GPL заражает производные работы), лицензионные обязательства при дистрибуции. Творческие лицензии Creative Commons применяются для контента.</w:t>
      </w:r>
    </w:p>
    <w:p>
      <w:pPr>
        <w:pStyle w:val="Heading3"/>
        <w:spacing w:after="120" w:before="240" w:line="360"/>
      </w:pPr>
      <w:r>
        <w:rPr>
          <w:rFonts w:ascii="Times New Roman" w:cs="Times New Roman" w:eastAsia="Times New Roman" w:hAnsi="Times New Roman"/>
          <w:b/>
          <w:bCs/>
          <w:i/>
          <w:iCs/>
          <w:sz w:val="28"/>
          <w:szCs w:val="28"/>
        </w:rPr>
        <w:t xml:space="preserve">Параллельный импорт</w:t>
      </w:r>
    </w:p>
    <w:p>
      <w:pPr>
        <w:spacing w:after="120" w:line="360"/>
        <w:ind w:firstLine="720"/>
        <w:jc w:val="both"/>
      </w:pPr>
      <w:r>
        <w:rPr>
          <w:rFonts w:ascii="Times New Roman" w:cs="Times New Roman" w:eastAsia="Times New Roman" w:hAnsi="Times New Roman"/>
          <w:sz w:val="28"/>
          <w:szCs w:val="28"/>
        </w:rPr>
        <w:t xml:space="preserve">После 2022 года в РФ Постановлением Правительства № 506 от 29.03.2022 разрешён параллельный импорт — ввоз в страну оригинальных товаров известных брендов без согласия правообладателя (для определённого перечня товаров, утверждённого Минпромторгом). Это ограничивает права обладателей товарных знаков на принцип исчерпания прав. Перечень товаров регулярно обновляется; в 2025 году он расширен на лекарства, бытовую электронику, автозапчасти.</w:t>
      </w:r>
    </w:p>
    <w:p>
      <w:pPr>
        <w:pStyle w:val="Heading3"/>
        <w:spacing w:after="120" w:before="240" w:line="360"/>
      </w:pPr>
      <w:r>
        <w:rPr>
          <w:rFonts w:ascii="Times New Roman" w:cs="Times New Roman" w:eastAsia="Times New Roman" w:hAnsi="Times New Roman"/>
          <w:b/>
          <w:bCs/>
          <w:i/>
          <w:iCs/>
          <w:sz w:val="28"/>
          <w:szCs w:val="28"/>
        </w:rPr>
        <w:t xml:space="preserve">Искусственный интеллект и интеллектуальные права</w:t>
      </w:r>
    </w:p>
    <w:p>
      <w:pPr>
        <w:spacing w:after="120" w:line="360"/>
        <w:ind w:firstLine="720"/>
        <w:jc w:val="both"/>
      </w:pPr>
      <w:r>
        <w:rPr>
          <w:rFonts w:ascii="Times New Roman" w:cs="Times New Roman" w:eastAsia="Times New Roman" w:hAnsi="Times New Roman"/>
          <w:sz w:val="28"/>
          <w:szCs w:val="28"/>
        </w:rPr>
        <w:t xml:space="preserve">Стремительное развитие генеративного ИИ (GPT-4, GigaChat, YandexGPT, Stable Diffusion, Midjourney) поставило ряд новых правовых вопросов: (1) обладает ли ИИ-сгенерированный контент авторским правом? — в РФ и большинстве стран нет, автором может быть только человек; (2) нарушает ли обучение модели на защищённых данных авторское право? — спорный вопрос (дело New York Times против OpenAI, иски художников против Stable Diffusion); (3) кто отвечает за нарушение прав при ИИ-генерации? Готовится изменение ФЗ-149 по маркировке ИИ-контента (по ФЗ-408 от 2023 года) и принципов ответственности.</w:t>
      </w:r>
    </w:p>
    <w:p>
      <w:pPr>
        <w:pStyle w:val="Heading3"/>
        <w:spacing w:after="120" w:before="240" w:line="360"/>
      </w:pPr>
      <w:r>
        <w:rPr>
          <w:rFonts w:ascii="Times New Roman" w:cs="Times New Roman" w:eastAsia="Times New Roman" w:hAnsi="Times New Roman"/>
          <w:b/>
          <w:bCs/>
          <w:i/>
          <w:iCs/>
          <w:sz w:val="28"/>
          <w:szCs w:val="28"/>
        </w:rPr>
        <w:t xml:space="preserve">Цифровые активы и NFT</w:t>
      </w:r>
    </w:p>
    <w:p>
      <w:pPr>
        <w:spacing w:after="120" w:line="360"/>
        <w:ind w:firstLine="720"/>
        <w:jc w:val="both"/>
      </w:pPr>
      <w:r>
        <w:rPr>
          <w:rFonts w:ascii="Times New Roman" w:cs="Times New Roman" w:eastAsia="Times New Roman" w:hAnsi="Times New Roman"/>
          <w:sz w:val="28"/>
          <w:szCs w:val="28"/>
        </w:rPr>
        <w:t xml:space="preserve">Невзаимозаменяемые токены (NFT) обозначают «цифровое право собственности» на токенизированный объект (изображение, видео, музыку). Однако NFT — это лишь запись в блокчейне, и сами по себе не передают авторских прав на изображение. Это часто вводит покупателей в заблуждение. ФЗ-259 от 2020 года о цифровых финансовых активах (ЦФА) частично регулирует криптоактивы, но статус NFT в РФ ещё не окончательно определён.</w:t>
      </w:r>
    </w:p>
    <w:p>
      <w:pPr>
        <w:pStyle w:val="Heading3"/>
        <w:spacing w:after="120" w:before="240" w:line="360"/>
      </w:pPr>
      <w:r>
        <w:rPr>
          <w:rFonts w:ascii="Times New Roman" w:cs="Times New Roman" w:eastAsia="Times New Roman" w:hAnsi="Times New Roman"/>
          <w:b/>
          <w:bCs/>
          <w:i/>
          <w:iCs/>
          <w:sz w:val="28"/>
          <w:szCs w:val="28"/>
        </w:rPr>
        <w:t xml:space="preserve">Доменные имена и киберсквоттинг</w:t>
      </w:r>
    </w:p>
    <w:p>
      <w:pPr>
        <w:spacing w:after="120" w:line="360"/>
        <w:ind w:firstLine="720"/>
        <w:jc w:val="both"/>
      </w:pPr>
      <w:r>
        <w:rPr>
          <w:rFonts w:ascii="Times New Roman" w:cs="Times New Roman" w:eastAsia="Times New Roman" w:hAnsi="Times New Roman"/>
          <w:sz w:val="28"/>
          <w:szCs w:val="28"/>
        </w:rPr>
        <w:t xml:space="preserve">Доменные имена не являются объектами интеллектуального права, но могут конфликтовать с товарными знаками. Киберсквоттинг — захват доменных имён с целью перепродажи правообладателю — пресекается через UDRP (международная процедура ICANN) и судебные иски. В РФ — Координационный центр доменов .RU/.РФ ведёт DRP. Знаковые российские дела: vk.com vs vkontakte.ru, mail.ru vs mailru.com.</w:t>
      </w:r>
    </w:p>
    <w:p>
      <w:pPr>
        <w:pStyle w:val="Heading3"/>
        <w:spacing w:after="120" w:before="240" w:line="360"/>
      </w:pPr>
      <w:r>
        <w:rPr>
          <w:rFonts w:ascii="Times New Roman" w:cs="Times New Roman" w:eastAsia="Times New Roman" w:hAnsi="Times New Roman"/>
          <w:b/>
          <w:bCs/>
          <w:i/>
          <w:iCs/>
          <w:sz w:val="28"/>
          <w:szCs w:val="28"/>
        </w:rPr>
        <w:t xml:space="preserve">Защита баз данных</w:t>
      </w:r>
    </w:p>
    <w:p>
      <w:pPr>
        <w:spacing w:after="120" w:line="360"/>
        <w:ind w:firstLine="720"/>
        <w:jc w:val="both"/>
      </w:pPr>
      <w:r>
        <w:rPr>
          <w:rFonts w:ascii="Times New Roman" w:cs="Times New Roman" w:eastAsia="Times New Roman" w:hAnsi="Times New Roman"/>
          <w:sz w:val="28"/>
          <w:szCs w:val="28"/>
        </w:rPr>
        <w:t xml:space="preserve">Базы данных охраняются в двух режимах: (1) как составные произведения (ст. 1260 ГК) — авторское право на оригинальный подбор и расположение материалов; (2) как объекты смежных прав изготовителя (ст. 1333–1336 ГК) — sui generis право, охраняющее существенные финансовые или организационные затраты на создание базы. Особенно актуально для государственных и корпоративных баз: реестр ЕГРЮЛ, ЕГРН, ФИАС, БДУ ФСТЭК.</w:t>
      </w:r>
    </w:p>
    <w:p>
      <w:pPr>
        <w:pStyle w:val="Heading2"/>
        <w:spacing w:after="180" w:before="300" w:line="360"/>
      </w:pPr>
      <w:r>
        <w:rPr>
          <w:rFonts w:ascii="Times New Roman" w:cs="Times New Roman" w:eastAsia="Times New Roman" w:hAnsi="Times New Roman"/>
          <w:b/>
          <w:bCs/>
          <w:sz w:val="30"/>
          <w:szCs w:val="30"/>
        </w:rPr>
        <w:t xml:space="preserve">1.7. Способы защиты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Гражданско-правовая защита: иск о пресечении нарушения, возмещение убытков или компенсация (от 10 тыс. до 5 млн ₽ по ст. 1301 ГК для авторских прав);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Уголовная ответственность (ст. 146, 147, 180 УК РФ);</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Административная ответственность (ст. 7.12 КоАП);</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Внесудебная блокировка пиратских сайтов через Роскомнадзор (ст. 15.2 ФЗ-149);</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Технические средства защиты (DRM) — ст. 1299 ГК запрещает их обход;</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Депонирование произведений (Роспатент, нотариус, специализированные сервисы вроде Copytrust, n'RIS);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Лицензионные соглашения как договорное регулирование использования.</w:t>
      </w:r>
    </w:p>
    <w:p>
      <w:pPr>
        <w:pStyle w:val="Heading2"/>
        <w:spacing w:after="180" w:before="300" w:line="360"/>
      </w:pPr>
      <w:r>
        <w:rPr>
          <w:rFonts w:ascii="Times New Roman" w:cs="Times New Roman" w:eastAsia="Times New Roman" w:hAnsi="Times New Roman"/>
          <w:b/>
          <w:bCs/>
          <w:sz w:val="30"/>
          <w:szCs w:val="30"/>
        </w:rPr>
        <w:t xml:space="preserve">Выводы по вопросу 1</w:t>
      </w:r>
    </w:p>
    <w:p>
      <w:pPr>
        <w:spacing w:after="120" w:line="360"/>
        <w:ind w:firstLine="720"/>
        <w:jc w:val="both"/>
      </w:pPr>
      <w:r>
        <w:rPr>
          <w:rFonts w:ascii="Times New Roman" w:cs="Times New Roman" w:eastAsia="Times New Roman" w:hAnsi="Times New Roman"/>
          <w:sz w:val="28"/>
          <w:szCs w:val="28"/>
        </w:rPr>
        <w:t xml:space="preserve">Интеллектуальное право в РФ кодифицировано в Части 4 ГК (ст. 1225–1551, с 2008 года) и включает 16 видов охраняемых объектов: авторское и смежное право, патенты, товарные знаки, фирменные наименования, селекционные достижения, топологии ИС, секреты производства, географические указания. Государственные органы: Роспатент (патенты, ТЗ, ПО, БД), ФИПС, Минцифры (реестр российского ПО ~25 000 продуктов), Суд по интеллектуальным правам (СИП с 2013). Международные обязательства: Бернская конвенция (1886), Парижская (1883), договоры ВОИС WCT/WPPT 1996, TRIPS, ВОИС. Современные проблемы: интернет-пиратство (антипиратский ФЗ-187 от 2013), защита ПО (открытые лицензии GPL/MIT/Apache, ст. 1286.1 ГК; реестр Минцифры), параллельный импорт (ПП-506 от 2022), ИИ и интеллектуальные права (нет автора-ИИ; иски к OpenAI, Stable Diffusion), NFT (ФЗ-259 о ЦФА), доменные имена и киберсквоттинг (UDRP, DRP), защита баз данных в двух режимах. Способы защиты: гражданско-правовые иски с компенсацией до 5 млн ₽, уголовная (УК 146/147/180), административная (КоАП 7.12), внесудебная блокировка через РКН, DRM, депонирование.</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2. Методы обеспечения конфиденциальности на сетевом уровне модели ВОС</w:t>
      </w:r>
    </w:p>
    <w:p>
      <w:pPr>
        <w:pStyle w:val="Heading2"/>
        <w:spacing w:after="180" w:before="300" w:line="360"/>
      </w:pPr>
      <w:r>
        <w:rPr>
          <w:rFonts w:ascii="Times New Roman" w:cs="Times New Roman" w:eastAsia="Times New Roman" w:hAnsi="Times New Roman"/>
          <w:b/>
          <w:bCs/>
          <w:sz w:val="30"/>
          <w:szCs w:val="30"/>
        </w:rPr>
        <w:t xml:space="preserve">2.1. Модель ВОС / OSI и сетевой уровень</w:t>
      </w:r>
    </w:p>
    <w:p>
      <w:pPr>
        <w:spacing w:after="120" w:line="360"/>
        <w:ind w:firstLine="720"/>
        <w:jc w:val="both"/>
      </w:pPr>
      <w:r>
        <w:rPr>
          <w:rFonts w:ascii="Times New Roman" w:cs="Times New Roman" w:eastAsia="Times New Roman" w:hAnsi="Times New Roman"/>
          <w:sz w:val="28"/>
          <w:szCs w:val="28"/>
        </w:rPr>
        <w:t xml:space="preserve">Эталонная модель взаимодействия открытых систем (ВОС, англ. OSI — Open Systems Interconnection) — концептуальная модель сетевого взаимодействия, разработанная ISO в 1984 году (стандарт ISO/IEC 7498). Модель разделяет сетевую коммуникацию на семь иерархических уровней. На каждом уровне работают свои протоколы, и каждый уровень предоставляет услуги вышестоящему. Российская терминология ВОС эквивалентна международной OSI; используется в ГОСТ Р ИСО/МЭК 7498.</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1700"/>
        <w:gridCol w:w="1900"/>
        <w:gridCol w:w="2400"/>
        <w:gridCol w:w="29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60"/>
              <w:left w:type="dxa" w:w="70"/>
              <w:bottom w:type="dxa" w:w="60"/>
              <w:right w:type="dxa" w:w="70"/>
            </w:tcMar>
          </w:tcPr>
          <w:p>
            <w:pPr>
              <w:jc w:val="center"/>
            </w:pPr>
            <w:r>
              <w:rPr>
                <w:rFonts w:ascii="Times New Roman" w:cs="Times New Roman" w:eastAsia="Times New Roman" w:hAnsi="Times New Roman"/>
                <w:b/>
                <w:bCs/>
                <w:sz w:val="22"/>
                <w:szCs w:val="22"/>
              </w:rPr>
              <w:t xml:space="preserve">№</w:t>
            </w:r>
          </w:p>
        </w:tc>
        <w:tc>
          <w:tcPr>
            <w:tcW w:type="dxa" w:w="0"/>
            <w:tcBorders>
              <w:top w:val="single" w:color="888888" w:sz="4"/>
              <w:left w:val="single" w:color="888888" w:sz="4"/>
              <w:bottom w:val="single" w:color="888888" w:sz="4"/>
              <w:right w:val="single" w:color="888888" w:sz="4"/>
            </w:tcBorders>
            <w:shd w:fill="D9E2F3" w:val="clear"/>
            <w:tcMar>
              <w:top w:type="dxa" w:w="60"/>
              <w:left w:type="dxa" w:w="70"/>
              <w:bottom w:type="dxa" w:w="60"/>
              <w:right w:type="dxa" w:w="70"/>
            </w:tcMar>
          </w:tcPr>
          <w:p>
            <w:pPr>
              <w:jc w:val="center"/>
            </w:pPr>
            <w:r>
              <w:rPr>
                <w:rFonts w:ascii="Times New Roman" w:cs="Times New Roman" w:eastAsia="Times New Roman" w:hAnsi="Times New Roman"/>
                <w:b/>
                <w:bCs/>
                <w:sz w:val="22"/>
                <w:szCs w:val="22"/>
              </w:rPr>
              <w:t xml:space="preserve">Уровень</w:t>
            </w:r>
          </w:p>
        </w:tc>
        <w:tc>
          <w:tcPr>
            <w:tcW w:type="dxa" w:w="0"/>
            <w:tcBorders>
              <w:top w:val="single" w:color="888888" w:sz="4"/>
              <w:left w:val="single" w:color="888888" w:sz="4"/>
              <w:bottom w:val="single" w:color="888888" w:sz="4"/>
              <w:right w:val="single" w:color="888888" w:sz="4"/>
            </w:tcBorders>
            <w:shd w:fill="D9E2F3" w:val="clear"/>
            <w:tcMar>
              <w:top w:type="dxa" w:w="60"/>
              <w:left w:type="dxa" w:w="70"/>
              <w:bottom w:type="dxa" w:w="60"/>
              <w:right w:type="dxa" w:w="70"/>
            </w:tcMar>
          </w:tcPr>
          <w:p>
            <w:pPr>
              <w:jc w:val="center"/>
            </w:pPr>
            <w:r>
              <w:rPr>
                <w:rFonts w:ascii="Times New Roman" w:cs="Times New Roman" w:eastAsia="Times New Roman" w:hAnsi="Times New Roman"/>
                <w:b/>
                <w:bCs/>
                <w:sz w:val="22"/>
                <w:szCs w:val="22"/>
              </w:rPr>
              <w:t xml:space="preserve">Назначение</w:t>
            </w:r>
          </w:p>
        </w:tc>
        <w:tc>
          <w:tcPr>
            <w:tcW w:type="dxa" w:w="0"/>
            <w:tcBorders>
              <w:top w:val="single" w:color="888888" w:sz="4"/>
              <w:left w:val="single" w:color="888888" w:sz="4"/>
              <w:bottom w:val="single" w:color="888888" w:sz="4"/>
              <w:right w:val="single" w:color="888888" w:sz="4"/>
            </w:tcBorders>
            <w:shd w:fill="D9E2F3" w:val="clear"/>
            <w:tcMar>
              <w:top w:type="dxa" w:w="60"/>
              <w:left w:type="dxa" w:w="70"/>
              <w:bottom w:type="dxa" w:w="60"/>
              <w:right w:type="dxa" w:w="70"/>
            </w:tcMar>
          </w:tcPr>
          <w:p>
            <w:pPr>
              <w:jc w:val="center"/>
            </w:pPr>
            <w:r>
              <w:rPr>
                <w:rFonts w:ascii="Times New Roman" w:cs="Times New Roman" w:eastAsia="Times New Roman" w:hAnsi="Times New Roman"/>
                <w:b/>
                <w:bCs/>
                <w:sz w:val="22"/>
                <w:szCs w:val="22"/>
              </w:rPr>
              <w:t xml:space="preserve">Протоколы / технологии</w:t>
            </w:r>
          </w:p>
        </w:tc>
        <w:tc>
          <w:tcPr>
            <w:tcW w:type="dxa" w:w="0"/>
            <w:tcBorders>
              <w:top w:val="single" w:color="888888" w:sz="4"/>
              <w:left w:val="single" w:color="888888" w:sz="4"/>
              <w:bottom w:val="single" w:color="888888" w:sz="4"/>
              <w:right w:val="single" w:color="888888" w:sz="4"/>
            </w:tcBorders>
            <w:shd w:fill="D9E2F3" w:val="clear"/>
            <w:tcMar>
              <w:top w:type="dxa" w:w="60"/>
              <w:left w:type="dxa" w:w="70"/>
              <w:bottom w:type="dxa" w:w="60"/>
              <w:right w:type="dxa" w:w="70"/>
            </w:tcMar>
          </w:tcPr>
          <w:p>
            <w:pPr>
              <w:jc w:val="center"/>
            </w:pPr>
            <w:r>
              <w:rPr>
                <w:rFonts w:ascii="Times New Roman" w:cs="Times New Roman" w:eastAsia="Times New Roman" w:hAnsi="Times New Roman"/>
                <w:b/>
                <w:bCs/>
                <w:sz w:val="22"/>
                <w:szCs w:val="22"/>
              </w:rPr>
              <w:t xml:space="preserve">Средства защиты</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7</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Прикладной (Application)</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Сетевые приложения</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HTTP, FTP, SMTP, DNS, SSH</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TLS-handshake, OAuth, JWT, WAF</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6</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Представительский (Presentation)</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Кодирование данных, сжатие, шифрование</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TLS/SSL, ASN.1, JPEG</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TLS 1.3, ГОСТ-СКЗИ</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5</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Сеансовый (Session)</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Управление сеансами</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NetBIOS, RPC, PPTP</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Управление сессиями, тайм-ауты</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4</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Транспортный (Transport)</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Сквозная доставка сегментов</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TCP, UDP, SCTP, QUIC</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TLS over TCP, DTLS over UDP</w:t>
            </w:r>
          </w:p>
        </w:tc>
      </w:tr>
      <w:tr>
        <w:trPr>
          <w:tblHeader w:val="false"/>
        </w:trPr>
        <w:tc>
          <w:tcPr>
            <w:tcW w:type="dxa" w:w="0"/>
            <w:tcBorders>
              <w:top w:val="single" w:color="888888" w:sz="4"/>
              <w:left w:val="single" w:color="888888" w:sz="4"/>
              <w:bottom w:val="single" w:color="888888" w:sz="4"/>
              <w:right w:val="single" w:color="888888" w:sz="4"/>
            </w:tcBorders>
            <w:shd w:fill="FEF3C7" w:val="clear"/>
            <w:tcMar>
              <w:top w:type="dxa" w:w="60"/>
              <w:left w:type="dxa" w:w="70"/>
              <w:bottom w:type="dxa" w:w="60"/>
              <w:right w:type="dxa" w:w="70"/>
            </w:tcMar>
          </w:tcPr>
          <w:p>
            <w:pPr>
              <w:jc w:val="left"/>
            </w:pPr>
            <w:r>
              <w:rPr>
                <w:rFonts w:ascii="Times New Roman" w:cs="Times New Roman" w:eastAsia="Times New Roman" w:hAnsi="Times New Roman"/>
                <w:b/>
                <w:bCs/>
                <w:sz w:val="20"/>
                <w:szCs w:val="20"/>
              </w:rPr>
              <w:t xml:space="preserve">3</w:t>
            </w:r>
          </w:p>
        </w:tc>
        <w:tc>
          <w:tcPr>
            <w:tcW w:type="dxa" w:w="0"/>
            <w:tcBorders>
              <w:top w:val="single" w:color="888888" w:sz="4"/>
              <w:left w:val="single" w:color="888888" w:sz="4"/>
              <w:bottom w:val="single" w:color="888888" w:sz="4"/>
              <w:right w:val="single" w:color="888888" w:sz="4"/>
            </w:tcBorders>
            <w:shd w:fill="FEF3C7" w:val="clear"/>
            <w:tcMar>
              <w:top w:type="dxa" w:w="60"/>
              <w:left w:type="dxa" w:w="70"/>
              <w:bottom w:type="dxa" w:w="60"/>
              <w:right w:type="dxa" w:w="70"/>
            </w:tcMar>
          </w:tcPr>
          <w:p>
            <w:pPr>
              <w:jc w:val="left"/>
            </w:pPr>
            <w:r>
              <w:rPr>
                <w:rFonts w:ascii="Times New Roman" w:cs="Times New Roman" w:eastAsia="Times New Roman" w:hAnsi="Times New Roman"/>
                <w:b/>
                <w:bCs/>
                <w:sz w:val="20"/>
                <w:szCs w:val="20"/>
              </w:rPr>
              <w:t xml:space="preserve">Сетевой (Network)</w:t>
            </w:r>
          </w:p>
        </w:tc>
        <w:tc>
          <w:tcPr>
            <w:tcW w:type="dxa" w:w="0"/>
            <w:tcBorders>
              <w:top w:val="single" w:color="888888" w:sz="4"/>
              <w:left w:val="single" w:color="888888" w:sz="4"/>
              <w:bottom w:val="single" w:color="888888" w:sz="4"/>
              <w:right w:val="single" w:color="888888" w:sz="4"/>
            </w:tcBorders>
            <w:shd w:fill="FEF3C7" w:val="clear"/>
            <w:tcMar>
              <w:top w:type="dxa" w:w="60"/>
              <w:left w:type="dxa" w:w="70"/>
              <w:bottom w:type="dxa" w:w="60"/>
              <w:right w:type="dxa" w:w="70"/>
            </w:tcMar>
          </w:tcPr>
          <w:p>
            <w:pPr>
              <w:jc w:val="left"/>
            </w:pPr>
            <w:r>
              <w:rPr>
                <w:rFonts w:ascii="Times New Roman" w:cs="Times New Roman" w:eastAsia="Times New Roman" w:hAnsi="Times New Roman"/>
                <w:b/>
                <w:bCs/>
                <w:sz w:val="20"/>
                <w:szCs w:val="20"/>
              </w:rPr>
              <w:t xml:space="preserve">Маршрутизация пакетов между сетями</w:t>
            </w:r>
          </w:p>
        </w:tc>
        <w:tc>
          <w:tcPr>
            <w:tcW w:type="dxa" w:w="0"/>
            <w:tcBorders>
              <w:top w:val="single" w:color="888888" w:sz="4"/>
              <w:left w:val="single" w:color="888888" w:sz="4"/>
              <w:bottom w:val="single" w:color="888888" w:sz="4"/>
              <w:right w:val="single" w:color="888888" w:sz="4"/>
            </w:tcBorders>
            <w:shd w:fill="FEF3C7" w:val="clear"/>
            <w:tcMar>
              <w:top w:type="dxa" w:w="60"/>
              <w:left w:type="dxa" w:w="70"/>
              <w:bottom w:type="dxa" w:w="60"/>
              <w:right w:type="dxa" w:w="70"/>
            </w:tcMar>
          </w:tcPr>
          <w:p>
            <w:pPr>
              <w:jc w:val="left"/>
            </w:pPr>
            <w:r>
              <w:rPr>
                <w:rFonts w:ascii="Times New Roman" w:cs="Times New Roman" w:eastAsia="Times New Roman" w:hAnsi="Times New Roman"/>
                <w:b/>
                <w:bCs/>
                <w:sz w:val="20"/>
                <w:szCs w:val="20"/>
              </w:rPr>
              <w:t xml:space="preserve">IP (v4/v6), ICMP, IGMP, OSPF, BGP</w:t>
            </w:r>
          </w:p>
        </w:tc>
        <w:tc>
          <w:tcPr>
            <w:tcW w:type="dxa" w:w="0"/>
            <w:tcBorders>
              <w:top w:val="single" w:color="888888" w:sz="4"/>
              <w:left w:val="single" w:color="888888" w:sz="4"/>
              <w:bottom w:val="single" w:color="888888" w:sz="4"/>
              <w:right w:val="single" w:color="888888" w:sz="4"/>
            </w:tcBorders>
            <w:shd w:fill="FEF3C7" w:val="clear"/>
            <w:tcMar>
              <w:top w:type="dxa" w:w="60"/>
              <w:left w:type="dxa" w:w="70"/>
              <w:bottom w:type="dxa" w:w="60"/>
              <w:right w:type="dxa" w:w="70"/>
            </w:tcMar>
          </w:tcPr>
          <w:p>
            <w:pPr>
              <w:jc w:val="left"/>
            </w:pPr>
            <w:r>
              <w:rPr>
                <w:rFonts w:ascii="Times New Roman" w:cs="Times New Roman" w:eastAsia="Times New Roman" w:hAnsi="Times New Roman"/>
                <w:b/>
                <w:bCs/>
                <w:sz w:val="20"/>
                <w:szCs w:val="20"/>
              </w:rPr>
              <w:t xml:space="preserve">IPsec, ACL на маршрутизаторах, VPN</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2</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Канальный (Data Link)</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Передача кадров между соседними узлами</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Ethernet, Wi-Fi, PPP, ARP</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MACsec (802.1AE), WPA3, 802.1X</w:t>
            </w:r>
          </w:p>
        </w:tc>
      </w:tr>
      <w:tr>
        <w:trPr>
          <w:tblHeader w:val="false"/>
        </w:trPr>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1</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Физический (Physical)</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Физическая передача битов</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Кабели, радио, оптика</w:t>
            </w:r>
          </w:p>
        </w:tc>
        <w:tc>
          <w:tcPr>
            <w:tcW w:type="dxa" w:w="0"/>
            <w:tcBorders>
              <w:top w:val="single" w:color="888888" w:sz="4"/>
              <w:left w:val="single" w:color="888888" w:sz="4"/>
              <w:bottom w:val="single" w:color="888888" w:sz="4"/>
              <w:right w:val="single" w:color="888888" w:sz="4"/>
            </w:tcBorders>
            <w:tcMar>
              <w:top w:type="dxa" w:w="60"/>
              <w:left w:type="dxa" w:w="70"/>
              <w:bottom w:type="dxa" w:w="60"/>
              <w:right w:type="dxa" w:w="70"/>
            </w:tcMar>
          </w:tcPr>
          <w:p>
            <w:pPr>
              <w:jc w:val="left"/>
            </w:pPr>
            <w:r>
              <w:rPr>
                <w:rFonts w:ascii="Times New Roman" w:cs="Times New Roman" w:eastAsia="Times New Roman" w:hAnsi="Times New Roman"/>
                <w:b w:val="false"/>
                <w:bCs w:val="false"/>
                <w:sz w:val="20"/>
                <w:szCs w:val="20"/>
              </w:rPr>
              <w:t xml:space="preserve">Физическая защита, экранирование</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Сетевой уровень (3-й, выделен в таблице) отвечает за маршрутизацию пакетов между сетями. Здесь работают протоколы IP (IPv4, IPv6), протоколы маршрутизации (RIP, OSPF, BGP, IS-IS), служебный ICMP. На этом уровне адреса — это IP-адреса, а основные действующие лица — маршрутизаторы. Именно на сетевом уровне решается задача связи разных физических сетей в одну глобальную IP-сеть (интернет).</w:t>
      </w:r>
    </w:p>
    <w:p>
      <w:pPr>
        <w:pStyle w:val="Heading2"/>
        <w:spacing w:after="180" w:before="300" w:line="360"/>
      </w:pPr>
      <w:r>
        <w:rPr>
          <w:rFonts w:ascii="Times New Roman" w:cs="Times New Roman" w:eastAsia="Times New Roman" w:hAnsi="Times New Roman"/>
          <w:b/>
          <w:bCs/>
          <w:sz w:val="30"/>
          <w:szCs w:val="30"/>
        </w:rPr>
        <w:t xml:space="preserve">2.2. Зачем нужна защита именно на сетевом уровне</w:t>
      </w:r>
    </w:p>
    <w:p>
      <w:pPr>
        <w:spacing w:after="120" w:line="360"/>
        <w:ind w:firstLine="720"/>
        <w:jc w:val="both"/>
      </w:pPr>
      <w:r>
        <w:rPr>
          <w:rFonts w:ascii="Times New Roman" w:cs="Times New Roman" w:eastAsia="Times New Roman" w:hAnsi="Times New Roman"/>
          <w:sz w:val="28"/>
          <w:szCs w:val="28"/>
        </w:rPr>
        <w:t xml:space="preserve">Защиту информации можно организовать на любом из семи уровней OSI, и у каждого есть свои преимущества и ограничения. Защита на сетевом уровне (через IPsec) имеет следующие особенности: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Прозрачность для приложений. </w:t>
      </w:r>
      <w:r>
        <w:rPr>
          <w:rFonts w:ascii="Times New Roman" w:cs="Times New Roman" w:eastAsia="Times New Roman" w:hAnsi="Times New Roman"/>
          <w:sz w:val="28"/>
          <w:szCs w:val="28"/>
        </w:rPr>
        <w:t xml:space="preserve">IPsec работает на уровне ядра ОС или сетевого оборудования; приложения (HTTP, SMTP, FTP) не нужно модифицировать — они продолжают работать как раньше, но трафик автоматически шифруется;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Защита всего трафика между точками. </w:t>
      </w:r>
      <w:r>
        <w:rPr>
          <w:rFonts w:ascii="Times New Roman" w:cs="Times New Roman" w:eastAsia="Times New Roman" w:hAnsi="Times New Roman"/>
          <w:sz w:val="28"/>
          <w:szCs w:val="28"/>
        </w:rPr>
        <w:t xml:space="preserve">Один туннель IPsec защищает любые приложения и протоколы — TCP, UDP, ICMP, любые порты;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Защита соединения «сеть-сеть» (site-to-site). </w:t>
      </w:r>
      <w:r>
        <w:rPr>
          <w:rFonts w:ascii="Times New Roman" w:cs="Times New Roman" w:eastAsia="Times New Roman" w:hAnsi="Times New Roman"/>
          <w:sz w:val="28"/>
          <w:szCs w:val="28"/>
        </w:rPr>
        <w:t xml:space="preserve">Удобно для объединения филиалов организации через интернет — IPsec туннель между корпоративными шлюзами заменяет дорогую выделенную линию;</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Сокрытие топологии. </w:t>
      </w:r>
      <w:r>
        <w:rPr>
          <w:rFonts w:ascii="Times New Roman" w:cs="Times New Roman" w:eastAsia="Times New Roman" w:hAnsi="Times New Roman"/>
          <w:sz w:val="28"/>
          <w:szCs w:val="28"/>
        </w:rPr>
        <w:t xml:space="preserve">В режиме туннеля IPsec скрывает оригинальные IP-адреса источника и назначения за адресами шлюзов, что повышает безопасность.</w:t>
      </w:r>
    </w:p>
    <w:p>
      <w:pPr>
        <w:pStyle w:val="Heading2"/>
        <w:spacing w:after="180" w:before="300" w:line="360"/>
      </w:pPr>
      <w:r>
        <w:rPr>
          <w:rFonts w:ascii="Times New Roman" w:cs="Times New Roman" w:eastAsia="Times New Roman" w:hAnsi="Times New Roman"/>
          <w:b/>
          <w:bCs/>
          <w:sz w:val="30"/>
          <w:szCs w:val="30"/>
        </w:rPr>
        <w:t xml:space="preserve">2.3. Протокол IPsec — основа защиты на сетевом уровне</w:t>
      </w:r>
    </w:p>
    <w:p>
      <w:pPr>
        <w:spacing w:after="120" w:line="360"/>
        <w:ind w:firstLine="720"/>
        <w:jc w:val="both"/>
      </w:pPr>
      <w:r>
        <w:rPr>
          <w:rFonts w:ascii="Times New Roman" w:cs="Times New Roman" w:eastAsia="Times New Roman" w:hAnsi="Times New Roman"/>
          <w:sz w:val="28"/>
          <w:szCs w:val="28"/>
        </w:rPr>
        <w:t xml:space="preserve">IPsec (Internet Protocol Security) — открытый стандарт защиты IP-пакетов, разработанный IETF в 1990-е годы. Спецификация распределена по RFC 4301 (общая архитектура), RFC 4302 (AH), RFC 4303 (ESP), RFC 4306/7296 (IKE/IKEv2). IPsec встроен в IPv6 как обязательный компонент и широко доступен в IPv4 как опциональное расширение.</w:t>
      </w:r>
    </w:p>
    <w:p>
      <w:pPr>
        <w:pStyle w:val="Heading3"/>
        <w:spacing w:after="120" w:before="240" w:line="360"/>
      </w:pPr>
      <w:r>
        <w:rPr>
          <w:rFonts w:ascii="Times New Roman" w:cs="Times New Roman" w:eastAsia="Times New Roman" w:hAnsi="Times New Roman"/>
          <w:b/>
          <w:bCs/>
          <w:i/>
          <w:iCs/>
          <w:sz w:val="28"/>
          <w:szCs w:val="28"/>
        </w:rPr>
        <w:t xml:space="preserve">Два основных протокола IPsec</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AH (Authentication Header, RFC 4302) </w:t>
      </w:r>
      <w:r>
        <w:rPr>
          <w:rFonts w:ascii="Times New Roman" w:cs="Times New Roman" w:eastAsia="Times New Roman" w:hAnsi="Times New Roman"/>
          <w:sz w:val="28"/>
          <w:szCs w:val="28"/>
        </w:rPr>
        <w:t xml:space="preserve">— обеспечивает аутентификацию источника и целостность пакета (защиту от подмены), но не шифрует содержимое. Применяется редко;</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ESP (Encapsulating Security Payload, RFC 4303) </w:t>
      </w:r>
      <w:r>
        <w:rPr>
          <w:rFonts w:ascii="Times New Roman" w:cs="Times New Roman" w:eastAsia="Times New Roman" w:hAnsi="Times New Roman"/>
          <w:sz w:val="28"/>
          <w:szCs w:val="28"/>
        </w:rPr>
        <w:t xml:space="preserve">— обеспечивает конфиденциальность (шифрование), целостность и аутентификацию. Это основной протокол IPsec для защиты конфиденциальности; именно ESP используется для VPN.</w:t>
      </w:r>
    </w:p>
    <w:p>
      <w:pPr>
        <w:pStyle w:val="Heading3"/>
        <w:spacing w:after="120" w:before="240" w:line="360"/>
      </w:pPr>
      <w:r>
        <w:rPr>
          <w:rFonts w:ascii="Times New Roman" w:cs="Times New Roman" w:eastAsia="Times New Roman" w:hAnsi="Times New Roman"/>
          <w:b/>
          <w:bCs/>
          <w:i/>
          <w:iCs/>
          <w:sz w:val="28"/>
          <w:szCs w:val="28"/>
        </w:rPr>
        <w:t xml:space="preserve">Два режима работы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Транспортный режим (Transport mode) </w:t>
      </w:r>
      <w:r>
        <w:rPr>
          <w:rFonts w:ascii="Times New Roman" w:cs="Times New Roman" w:eastAsia="Times New Roman" w:hAnsi="Times New Roman"/>
          <w:sz w:val="28"/>
          <w:szCs w:val="28"/>
        </w:rPr>
        <w:t xml:space="preserve">— шифруется только полезная нагрузка IP-пакета, IP-заголовок остаётся открытым. Применяется для защиты соединения «хост-хост» (например, два сервера общаются через шифрованный канал);</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Туннельный режим (Tunnel mode) </w:t>
      </w:r>
      <w:r>
        <w:rPr>
          <w:rFonts w:ascii="Times New Roman" w:cs="Times New Roman" w:eastAsia="Times New Roman" w:hAnsi="Times New Roman"/>
          <w:sz w:val="28"/>
          <w:szCs w:val="28"/>
        </w:rPr>
        <w:t xml:space="preserve">— весь исходный IP-пакет (включая заголовок) шифруется и инкапсулируется в новый внешний IP-пакет. Применяется для VPN: site-to-site между шлюзами или client-to-site (удалённый доступ).</w:t>
      </w:r>
    </w:p>
    <w:p>
      <w:pPr>
        <w:pStyle w:val="Heading3"/>
        <w:spacing w:after="120" w:before="240" w:line="360"/>
      </w:pPr>
      <w:r>
        <w:rPr>
          <w:rFonts w:ascii="Times New Roman" w:cs="Times New Roman" w:eastAsia="Times New Roman" w:hAnsi="Times New Roman"/>
          <w:b/>
          <w:bCs/>
          <w:i/>
          <w:iCs/>
          <w:sz w:val="28"/>
          <w:szCs w:val="28"/>
        </w:rPr>
        <w:t xml:space="preserve">Алгоритмы шифрования</w:t>
      </w:r>
    </w:p>
    <w:p>
      <w:pPr>
        <w:spacing w:after="120" w:line="360"/>
        <w:ind w:firstLine="720"/>
        <w:jc w:val="both"/>
      </w:pPr>
      <w:r>
        <w:rPr>
          <w:rFonts w:ascii="Times New Roman" w:cs="Times New Roman" w:eastAsia="Times New Roman" w:hAnsi="Times New Roman"/>
          <w:sz w:val="28"/>
          <w:szCs w:val="28"/>
        </w:rPr>
        <w:t xml:space="preserve">IPsec поддерживает выбор алгоритмов: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Симметричное шифрование: AES-128/256-GCM, AES-CBC, ChaCha20-Poly1305; в РФ-сертифицированных СКЗИ — ГОСТ Р 34.12-2015 «Кузнечик»;</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Целостность и аутентификация: HMAC-SHA-256/SHA-3, AES-GMAC; в РФ — ГОСТ Р 34.11-2012 «Стрибог»;</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Согласование ключей: IKEv2 с Diffie-Hellman / ECDH;</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Аутентификация сторон: предразделённые ключи (PSK), сертификаты X.509, ГОСТ Р 34.10-2012 ЭЦП.</w:t>
      </w:r>
    </w:p>
    <w:p>
      <w:pPr>
        <w:pStyle w:val="Heading3"/>
        <w:spacing w:after="120" w:before="240" w:line="360"/>
      </w:pPr>
      <w:r>
        <w:rPr>
          <w:rFonts w:ascii="Times New Roman" w:cs="Times New Roman" w:eastAsia="Times New Roman" w:hAnsi="Times New Roman"/>
          <w:b/>
          <w:bCs/>
          <w:i/>
          <w:iCs/>
          <w:sz w:val="28"/>
          <w:szCs w:val="28"/>
        </w:rPr>
        <w:t xml:space="preserve">Структура установления соединения</w:t>
      </w:r>
    </w:p>
    <w:p>
      <w:pPr>
        <w:spacing w:after="120" w:line="360"/>
        <w:ind w:firstLine="720"/>
        <w:jc w:val="both"/>
      </w:pPr>
      <w:r>
        <w:rPr>
          <w:rFonts w:ascii="Times New Roman" w:cs="Times New Roman" w:eastAsia="Times New Roman" w:hAnsi="Times New Roman"/>
          <w:sz w:val="28"/>
          <w:szCs w:val="28"/>
        </w:rPr>
        <w:t xml:space="preserve">Установление IPsec-соединения проходит две фазы: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Фаза 1 (IKE_SA_INIT). </w:t>
      </w:r>
      <w:r>
        <w:rPr>
          <w:rFonts w:ascii="Times New Roman" w:cs="Times New Roman" w:eastAsia="Times New Roman" w:hAnsi="Times New Roman"/>
          <w:sz w:val="28"/>
          <w:szCs w:val="28"/>
        </w:rPr>
        <w:t xml:space="preserve">Стороны договариваются о криптографических параметрах, генерируют общий секрет по Diffie-Hellman, аутентифицируются (по сертификатам или PSK);</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Фаза 2 (CHILD_SA). </w:t>
      </w:r>
      <w:r>
        <w:rPr>
          <w:rFonts w:ascii="Times New Roman" w:cs="Times New Roman" w:eastAsia="Times New Roman" w:hAnsi="Times New Roman"/>
          <w:sz w:val="28"/>
          <w:szCs w:val="28"/>
        </w:rPr>
        <w:t xml:space="preserve">Создаются Security Associations (SA) для конкретных потоков трафика; SA содержит ключи, алгоритмы, параметры. SA однонаправленны — для двустороннего соединения нужно две SA.</w:t>
      </w:r>
    </w:p>
    <w:p>
      <w:pPr>
        <w:pStyle w:val="Heading2"/>
        <w:spacing w:after="180" w:before="300" w:line="360"/>
      </w:pPr>
      <w:r>
        <w:rPr>
          <w:rFonts w:ascii="Times New Roman" w:cs="Times New Roman" w:eastAsia="Times New Roman" w:hAnsi="Times New Roman"/>
          <w:b/>
          <w:bCs/>
          <w:sz w:val="30"/>
          <w:szCs w:val="30"/>
        </w:rPr>
        <w:t xml:space="preserve">2.4. VPN на основе IPsec</w:t>
      </w:r>
    </w:p>
    <w:p>
      <w:pPr>
        <w:spacing w:after="120" w:line="360"/>
        <w:ind w:firstLine="720"/>
        <w:jc w:val="both"/>
      </w:pPr>
      <w:r>
        <w:rPr>
          <w:rFonts w:ascii="Times New Roman" w:cs="Times New Roman" w:eastAsia="Times New Roman" w:hAnsi="Times New Roman"/>
          <w:sz w:val="28"/>
          <w:szCs w:val="28"/>
        </w:rPr>
        <w:t xml:space="preserve">Главное применение IPsec на практике — Virtual Private Network (VPN). Различают три типа VPN-схем: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Site-to-Site VPN — соединение двух удалённых филиалов через интернет; шлюзы шифруют весь трафик между сетями;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Remote-Access VPN — индивидуальный пользователь подключается к корпоративной сети через VPN-клиент;</w:t>
      </w:r>
    </w:p>
    <w:p>
      <w:pPr>
        <w:pStyle w:val="ListParagraph"/>
        <w:numPr>
          <w:ilvl w:val="0"/>
          <w:numId w:val="2"/>
        </w:numPr>
        <w:spacing w:after="60" w:line="360"/>
        <w:jc w:val="both"/>
      </w:pPr>
      <w:r>
        <w:rPr>
          <w:rFonts w:ascii="Times New Roman" w:cs="Times New Roman" w:eastAsia="Times New Roman" w:hAnsi="Times New Roman"/>
          <w:sz w:val="28"/>
          <w:szCs w:val="28"/>
        </w:rPr>
        <w:t xml:space="preserve">Host-to-Host — защищённое соединение между двумя серверами.</w:t>
      </w:r>
    </w:p>
    <w:p>
      <w:pPr>
        <w:spacing w:after="120" w:line="360"/>
        <w:ind w:firstLine="720"/>
        <w:jc w:val="both"/>
      </w:pPr>
      <w:r>
        <w:rPr>
          <w:rFonts w:ascii="Times New Roman" w:cs="Times New Roman" w:eastAsia="Times New Roman" w:hAnsi="Times New Roman"/>
          <w:sz w:val="28"/>
          <w:szCs w:val="28"/>
        </w:rPr>
        <w:t xml:space="preserve">Российские сертифицированные решения для построения VPN на основе IPsec и ГОСТ-криптографии: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ViPNet Coordinator / ViPNet Client (Инфотекс) — самое распространённое решение, поддерживает ГОСТ;</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КриптоПро IPsec — связка КриптоПро CSP с IPsec-стеком;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Континент IPC (Код Безопасности) — аппаратные VPN-шлюзы;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S-Terra CSP VPN — программно-аппаратные шлюзы;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UserGate с поддержкой ГОСТ-криптографии.</w:t>
      </w:r>
    </w:p>
    <w:p>
      <w:pPr>
        <w:pStyle w:val="Heading2"/>
        <w:spacing w:after="180" w:before="300" w:line="360"/>
      </w:pPr>
      <w:r>
        <w:rPr>
          <w:rFonts w:ascii="Times New Roman" w:cs="Times New Roman" w:eastAsia="Times New Roman" w:hAnsi="Times New Roman"/>
          <w:b/>
          <w:bCs/>
          <w:sz w:val="30"/>
          <w:szCs w:val="30"/>
        </w:rPr>
        <w:t xml:space="preserve">2.5. Альтернативы и связанные технологии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WireGuard </w:t>
      </w:r>
      <w:r>
        <w:rPr>
          <w:rFonts w:ascii="Times New Roman" w:cs="Times New Roman" w:eastAsia="Times New Roman" w:hAnsi="Times New Roman"/>
          <w:sz w:val="28"/>
          <w:szCs w:val="28"/>
        </w:rPr>
        <w:t xml:space="preserve">— современный VPN-протокол (2015, ядро Linux с 2020), работающий поверх UDP. Конкурент IPsec; быстрее, проще, но не поддерживает ГОСТ;</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OpenVPN </w:t>
      </w:r>
      <w:r>
        <w:rPr>
          <w:rFonts w:ascii="Times New Roman" w:cs="Times New Roman" w:eastAsia="Times New Roman" w:hAnsi="Times New Roman"/>
          <w:sz w:val="28"/>
          <w:szCs w:val="28"/>
        </w:rPr>
        <w:t xml:space="preserve">— ещё один популярный VPN-протокол, работает на уровне приложений (TLS поверх UDP/TCP), а не на сетевом;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GRE (Generic Routing Encapsulation) </w:t>
      </w:r>
      <w:r>
        <w:rPr>
          <w:rFonts w:ascii="Times New Roman" w:cs="Times New Roman" w:eastAsia="Times New Roman" w:hAnsi="Times New Roman"/>
          <w:sz w:val="28"/>
          <w:szCs w:val="28"/>
        </w:rPr>
        <w:t xml:space="preserve">— туннелирование на сетевом уровне без шифрования; часто используется в связке с IPsec для маршрутизации мультикаст-трафика через туннель;</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MPLS VPN </w:t>
      </w:r>
      <w:r>
        <w:rPr>
          <w:rFonts w:ascii="Times New Roman" w:cs="Times New Roman" w:eastAsia="Times New Roman" w:hAnsi="Times New Roman"/>
          <w:sz w:val="28"/>
          <w:szCs w:val="28"/>
        </w:rPr>
        <w:t xml:space="preserve">— VPN на основе MPLS у операторов связи; обеспечивает изоляцию, но не шифрование (отдельный механизм);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TLS (RFC 8446 v1.3) </w:t>
      </w:r>
      <w:r>
        <w:rPr>
          <w:rFonts w:ascii="Times New Roman" w:cs="Times New Roman" w:eastAsia="Times New Roman" w:hAnsi="Times New Roman"/>
          <w:sz w:val="28"/>
          <w:szCs w:val="28"/>
        </w:rPr>
        <w:t xml:space="preserve">— защита на представительском уровне (6-м); шифрует трафик отдельных приложений (HTTPS, SMTPS, FTPS); более распространён в публичном интернете;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MACsec (IEEE 802.1AE) </w:t>
      </w:r>
      <w:r>
        <w:rPr>
          <w:rFonts w:ascii="Times New Roman" w:cs="Times New Roman" w:eastAsia="Times New Roman" w:hAnsi="Times New Roman"/>
          <w:sz w:val="28"/>
          <w:szCs w:val="28"/>
        </w:rPr>
        <w:t xml:space="preserve">— защита на канальном уровне (2-м); шифрует Ethernet-кадры между соседними узлами.</w:t>
      </w:r>
    </w:p>
    <w:p>
      <w:pPr>
        <w:pStyle w:val="Heading2"/>
        <w:spacing w:after="180" w:before="300" w:line="360"/>
      </w:pPr>
      <w:r>
        <w:rPr>
          <w:rFonts w:ascii="Times New Roman" w:cs="Times New Roman" w:eastAsia="Times New Roman" w:hAnsi="Times New Roman"/>
          <w:b/>
          <w:bCs/>
          <w:sz w:val="30"/>
          <w:szCs w:val="30"/>
        </w:rPr>
        <w:t xml:space="preserve">2.6. Дополнительные методы защиты на сетевом уровне</w:t>
      </w:r>
    </w:p>
    <w:p>
      <w:pPr>
        <w:spacing w:after="120" w:line="360"/>
        <w:ind w:firstLine="720"/>
        <w:jc w:val="both"/>
      </w:pPr>
      <w:r>
        <w:rPr>
          <w:rFonts w:ascii="Times New Roman" w:cs="Times New Roman" w:eastAsia="Times New Roman" w:hAnsi="Times New Roman"/>
          <w:sz w:val="28"/>
          <w:szCs w:val="28"/>
        </w:rPr>
        <w:t xml:space="preserve">Кроме шифрования через IPsec, на сетевом уровне применяются и другие средства защиты: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Списки контроля доступа (ACL) на маршрутизаторах </w:t>
      </w:r>
      <w:r>
        <w:rPr>
          <w:rFonts w:ascii="Times New Roman" w:cs="Times New Roman" w:eastAsia="Times New Roman" w:hAnsi="Times New Roman"/>
          <w:sz w:val="28"/>
          <w:szCs w:val="28"/>
        </w:rPr>
        <w:t xml:space="preserve">— фильтрация пакетов по IP-адресам, портам, протоколам; стандартный механизм Cisco IOS, MikroTik RouterOS, отечественных Eltex MES;</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Межсетевые экраны (Firewall, NGFW) </w:t>
      </w:r>
      <w:r>
        <w:rPr>
          <w:rFonts w:ascii="Times New Roman" w:cs="Times New Roman" w:eastAsia="Times New Roman" w:hAnsi="Times New Roman"/>
          <w:sz w:val="28"/>
          <w:szCs w:val="28"/>
        </w:rPr>
        <w:t xml:space="preserve">— работают преимущественно на 3-4 уровнях; российские UserGate, Континент 4, ViPNet Coordinator;</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Network Address Translation (NAT) </w:t>
      </w:r>
      <w:r>
        <w:rPr>
          <w:rFonts w:ascii="Times New Roman" w:cs="Times New Roman" w:eastAsia="Times New Roman" w:hAnsi="Times New Roman"/>
          <w:sz w:val="28"/>
          <w:szCs w:val="28"/>
        </w:rPr>
        <w:t xml:space="preserve">— технически не средство защиты, но скрывает внутренние IP-адреса от внешней сети, затрудняя прямые атаки на хосты внутри LAN;</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Сегментация сети и VLAN </w:t>
      </w:r>
      <w:r>
        <w:rPr>
          <w:rFonts w:ascii="Times New Roman" w:cs="Times New Roman" w:eastAsia="Times New Roman" w:hAnsi="Times New Roman"/>
          <w:sz w:val="28"/>
          <w:szCs w:val="28"/>
        </w:rPr>
        <w:t xml:space="preserve">— разделение сети на изолированные подсети с контролируемым взаимодействием;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Аутентификация маршрутизации (RIPv2 / OSPF / BGP authentication) </w:t>
      </w:r>
      <w:r>
        <w:rPr>
          <w:rFonts w:ascii="Times New Roman" w:cs="Times New Roman" w:eastAsia="Times New Roman" w:hAnsi="Times New Roman"/>
          <w:sz w:val="28"/>
          <w:szCs w:val="28"/>
        </w:rPr>
        <w:t xml:space="preserve">— защита от подмены маршрутных обновлений: MD5, SHA-256, IPsec для OSPFv3;</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DNSSEC </w:t>
      </w:r>
      <w:r>
        <w:rPr>
          <w:rFonts w:ascii="Times New Roman" w:cs="Times New Roman" w:eastAsia="Times New Roman" w:hAnsi="Times New Roman"/>
          <w:sz w:val="28"/>
          <w:szCs w:val="28"/>
        </w:rPr>
        <w:t xml:space="preserve">— защита DNS от подмены ответов через цифровую подпись зон; работает на 7-м уровне, но защищает 3-й (адресацию);</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Защита от DDoS </w:t>
      </w:r>
      <w:r>
        <w:rPr>
          <w:rFonts w:ascii="Times New Roman" w:cs="Times New Roman" w:eastAsia="Times New Roman" w:hAnsi="Times New Roman"/>
          <w:sz w:val="28"/>
          <w:szCs w:val="28"/>
        </w:rPr>
        <w:t xml:space="preserve">— у операторов через BGP Flowspec, очистка трафика (российский лидер — Qrator Labs).</w:t>
      </w:r>
    </w:p>
    <w:p>
      <w:pPr>
        <w:pStyle w:val="Heading2"/>
        <w:spacing w:after="180" w:before="300" w:line="360"/>
      </w:pPr>
      <w:r>
        <w:rPr>
          <w:rFonts w:ascii="Times New Roman" w:cs="Times New Roman" w:eastAsia="Times New Roman" w:hAnsi="Times New Roman"/>
          <w:b/>
          <w:bCs/>
          <w:sz w:val="30"/>
          <w:szCs w:val="30"/>
        </w:rPr>
        <w:t xml:space="preserve">2.7. Нормативная база в РФ</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ГОСТ Р ИСО/МЭК 7498-1-99 «Эталонная модель ВОС»;</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ГОСТ Р 34.12-2015 «Кузнечик» — блочный шифр для IPsec;</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ГОСТ Р 34.11-2012 «Стрибог» — хеш-функция;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ГОСТ Р 34.10-2012 — электронная подпись для аутентификации в IKE;</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Приказ ФСБ России № 378 — требования к СКЗИ при защите ПДн;</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Приказ ФСТЭК России № 21 — состав мер защиты для ИСПДн;</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РД ФСТЭК «Профиль защиты межсетевого экрана».</w:t>
      </w:r>
    </w:p>
    <w:p>
      <w:pPr>
        <w:pStyle w:val="Heading2"/>
        <w:spacing w:after="180" w:before="300" w:line="360"/>
      </w:pPr>
      <w:r>
        <w:rPr>
          <w:rFonts w:ascii="Times New Roman" w:cs="Times New Roman" w:eastAsia="Times New Roman" w:hAnsi="Times New Roman"/>
          <w:b/>
          <w:bCs/>
          <w:sz w:val="30"/>
          <w:szCs w:val="30"/>
        </w:rPr>
        <w:t xml:space="preserve">Выводы по вопросу 2</w:t>
      </w:r>
    </w:p>
    <w:p>
      <w:pPr>
        <w:spacing w:after="120" w:line="360"/>
        <w:ind w:firstLine="720"/>
        <w:jc w:val="both"/>
      </w:pPr>
      <w:r>
        <w:rPr>
          <w:rFonts w:ascii="Times New Roman" w:cs="Times New Roman" w:eastAsia="Times New Roman" w:hAnsi="Times New Roman"/>
          <w:sz w:val="28"/>
          <w:szCs w:val="28"/>
        </w:rPr>
        <w:t xml:space="preserve">Модель ВОС/OSI (ISO/IEC 7498, 1984) описывает сетевое взаимодействие через 7 уровней. Сетевой уровень (3-й) отвечает за маршрутизацию IP-пакетов между сетями. Основной метод обеспечения конфиденциальности на сетевом уровне — протокол IPsec (RFC 4301), включающий AH (целостность), ESP (шифрование + целостность), режимы транспортный и туннельный. IPsec прозрачен для приложений, защищает весь трафик между точками, скрывает топологию. Алгоритмы: AES, ГОСТ Кузнечик, HMAC-SHA-256, ГОСТ Стрибог, IKEv2 с Diffie-Hellman / ECDH, аутентификация по сертификатам X.509 или ГОСТ Р 34.10-2012. Главное применение — VPN (site-to-site, remote-access, host-to-host). Российские сертифицированные решения: ViPNet Coordinator, КриптоПро IPsec, Континент IPC, S-Terra, UserGate с ГОСТ. Альтернативы: WireGuard, OpenVPN, MACsec (канальный уровень), TLS (представительский). Дополнительные методы защиты на сетевом уровне: ACL, NGFW, NAT, сегментация и VLAN, аутентификация маршрутизации, DNSSEC, защита от DDoS. Нормативная база РФ: ГОСТ Р ИСО/МЭК 7498, ГОСТ Кузнечик/Стрибог/Р 34.10-2012, приказы ФСБ № 378 и ФСТЭК № 21.</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3. UML-диаграммы для системы «Продажа туристического продукта»</w:t>
      </w:r>
    </w:p>
    <w:p>
      <w:pPr>
        <w:pStyle w:val="Heading2"/>
        <w:spacing w:after="180" w:before="300" w:line="360"/>
      </w:pPr>
      <w:r>
        <w:rPr>
          <w:rFonts w:ascii="Times New Roman" w:cs="Times New Roman" w:eastAsia="Times New Roman" w:hAnsi="Times New Roman"/>
          <w:b/>
          <w:bCs/>
          <w:sz w:val="30"/>
          <w:szCs w:val="30"/>
        </w:rPr>
        <w:t xml:space="preserve">3.1. О диаграммах последовательности и классов</w:t>
      </w:r>
    </w:p>
    <w:p>
      <w:pPr>
        <w:spacing w:after="120" w:line="360"/>
        <w:ind w:firstLine="720"/>
        <w:jc w:val="both"/>
      </w:pPr>
      <w:r>
        <w:rPr>
          <w:rFonts w:ascii="Times New Roman" w:cs="Times New Roman" w:eastAsia="Times New Roman" w:hAnsi="Times New Roman"/>
          <w:sz w:val="28"/>
          <w:szCs w:val="28"/>
        </w:rPr>
        <w:t xml:space="preserve">UML 2.5.1 (стандарт OMG, текущая версия 2017 года) определяет 14 типов диаграмм, разделённых на структурные и поведенческие. В рамках данной задачи требуется построить две диаграммы разной природы: диаграмму классов (Class Diagram) — структурная, описывающая статическую модель данных и кода системы; и диаграмму последовательности (Sequence Diagram) — поведенческая, описывающая динамическое взаимодействие объектов во времени.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Диаграмма классов </w:t>
      </w:r>
      <w:r>
        <w:rPr>
          <w:rFonts w:ascii="Times New Roman" w:cs="Times New Roman" w:eastAsia="Times New Roman" w:hAnsi="Times New Roman"/>
          <w:sz w:val="28"/>
          <w:szCs w:val="28"/>
        </w:rPr>
        <w:t xml:space="preserve">(Class Diagram) — основная структурная диаграмма UML, показывающая классы, их атрибуты, методы и отношения (ассоциация, агрегация, композиция, наследование, реализация, зависимость). Применяется на этапе детального проектирования; служит основой для генерации кода и схем БД;</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Диаграмма последовательности </w:t>
      </w:r>
      <w:r>
        <w:rPr>
          <w:rFonts w:ascii="Times New Roman" w:cs="Times New Roman" w:eastAsia="Times New Roman" w:hAnsi="Times New Roman"/>
          <w:sz w:val="28"/>
          <w:szCs w:val="28"/>
        </w:rPr>
        <w:t xml:space="preserve">(Sequence Diagram) — показывает порядок взаимодействия между объектами для конкретного сценария использования. Время идёт сверху вниз, объекты — слева направо, между ними — сообщения (синхронные, асинхронные, возвратные). Применяется для уточнения логики бизнес-процессов и проверки прецедентов use case.</w:t>
      </w:r>
    </w:p>
    <w:p>
      <w:pPr>
        <w:pStyle w:val="Heading2"/>
        <w:spacing w:after="180" w:before="300" w:line="360"/>
      </w:pPr>
      <w:r>
        <w:rPr>
          <w:rFonts w:ascii="Times New Roman" w:cs="Times New Roman" w:eastAsia="Times New Roman" w:hAnsi="Times New Roman"/>
          <w:b/>
          <w:bCs/>
          <w:sz w:val="30"/>
          <w:szCs w:val="30"/>
        </w:rPr>
        <w:t xml:space="preserve">3.2. Предметная область</w:t>
      </w:r>
    </w:p>
    <w:p>
      <w:pPr>
        <w:spacing w:after="120" w:line="360"/>
        <w:ind w:firstLine="720"/>
        <w:jc w:val="both"/>
      </w:pPr>
      <w:r>
        <w:rPr>
          <w:rFonts w:ascii="Times New Roman" w:cs="Times New Roman" w:eastAsia="Times New Roman" w:hAnsi="Times New Roman"/>
          <w:sz w:val="28"/>
          <w:szCs w:val="28"/>
        </w:rPr>
        <w:t xml:space="preserve">Система «Продажа туристического продукта» автоматизирует деятельность турагентства: приём клиентов, подбор туров из каталога туроператоров (Coral Travel, Anex Tour, Pegas Touristik, ТТВ, российские TUI Russia, FUN&amp;SUN), бронирование, оплата, выпуск документов (ваучер, билеты, страховка) и постпродажное обслуживание. Это типовой пример клиент-сервисной системы с участием нескольких поставщиков услуг (отели, авиакомпании, страховщики) и внешних финансовых сервисов.</w:t>
      </w:r>
    </w:p>
    <w:p>
      <w:pPr>
        <w:pStyle w:val="Heading2"/>
        <w:spacing w:after="180" w:before="300" w:line="360"/>
      </w:pPr>
      <w:r>
        <w:rPr>
          <w:rFonts w:ascii="Times New Roman" w:cs="Times New Roman" w:eastAsia="Times New Roman" w:hAnsi="Times New Roman"/>
          <w:b/>
          <w:bCs/>
          <w:sz w:val="30"/>
          <w:szCs w:val="30"/>
        </w:rPr>
        <w:t xml:space="preserve">3.3. Диаграмма классов</w:t>
      </w:r>
    </w:p>
    <w:p>
      <w:pPr>
        <w:spacing w:after="120" w:line="360"/>
        <w:ind w:firstLine="720"/>
        <w:jc w:val="both"/>
      </w:pPr>
      <w:r>
        <w:rPr>
          <w:rFonts w:ascii="Times New Roman" w:cs="Times New Roman" w:eastAsia="Times New Roman" w:hAnsi="Times New Roman"/>
          <w:sz w:val="28"/>
          <w:szCs w:val="28"/>
        </w:rPr>
        <w:t xml:space="preserve">На диаграмме классов (рис. 1) показаны десять основных классов системы с их атрибутами и методами, а также отношения между ними: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Customer </w:t>
      </w:r>
      <w:r>
        <w:rPr>
          <w:rFonts w:ascii="Times New Roman" w:cs="Times New Roman" w:eastAsia="Times New Roman" w:hAnsi="Times New Roman"/>
          <w:sz w:val="28"/>
          <w:szCs w:val="28"/>
        </w:rPr>
        <w:t xml:space="preserve">(Клиент) — атрибуты: id, name, phone, email, passportNo; методы getId(), getFullInfo();</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TourAgent </w:t>
      </w:r>
      <w:r>
        <w:rPr>
          <w:rFonts w:ascii="Times New Roman" w:cs="Times New Roman" w:eastAsia="Times New Roman" w:hAnsi="Times New Roman"/>
          <w:sz w:val="28"/>
          <w:szCs w:val="28"/>
        </w:rPr>
        <w:t xml:space="preserve">(Менеджер) — id, name, agency; методы searchTour(), confirmBooking();</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Reservation </w:t>
      </w:r>
      <w:r>
        <w:rPr>
          <w:rFonts w:ascii="Times New Roman" w:cs="Times New Roman" w:eastAsia="Times New Roman" w:hAnsi="Times New Roman"/>
          <w:sz w:val="28"/>
          <w:szCs w:val="28"/>
        </w:rPr>
        <w:t xml:space="preserve">(Бронирование) — id, customerId, tourId, agentId, status, createdAt; методы create(), confirm(), cancel(), getStatus();</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TourProduct </w:t>
      </w:r>
      <w:r>
        <w:rPr>
          <w:rFonts w:ascii="Times New Roman" w:cs="Times New Roman" w:eastAsia="Times New Roman" w:hAnsi="Times New Roman"/>
          <w:sz w:val="28"/>
          <w:szCs w:val="28"/>
        </w:rPr>
        <w:t xml:space="preserve">(Туристический продукт) — id, title, destination, duration, price, supplierId, startDate; методы calcFinalPrice(), checkAvailability();</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Supplier </w:t>
      </w:r>
      <w:r>
        <w:rPr>
          <w:rFonts w:ascii="Times New Roman" w:cs="Times New Roman" w:eastAsia="Times New Roman" w:hAnsi="Times New Roman"/>
          <w:sz w:val="28"/>
          <w:szCs w:val="28"/>
        </w:rPr>
        <w:t xml:space="preserve">(Туроператор) — id, name, type, contactInfo;</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Hotel </w:t>
      </w:r>
      <w:r>
        <w:rPr>
          <w:rFonts w:ascii="Times New Roman" w:cs="Times New Roman" w:eastAsia="Times New Roman" w:hAnsi="Times New Roman"/>
          <w:sz w:val="28"/>
          <w:szCs w:val="28"/>
        </w:rPr>
        <w:t xml:space="preserve">(Отель) — id, name, stars, city;</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Flight </w:t>
      </w:r>
      <w:r>
        <w:rPr>
          <w:rFonts w:ascii="Times New Roman" w:cs="Times New Roman" w:eastAsia="Times New Roman" w:hAnsi="Times New Roman"/>
          <w:sz w:val="28"/>
          <w:szCs w:val="28"/>
        </w:rPr>
        <w:t xml:space="preserve">(Авиабилет) — id, airline, from, to, departure;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Insurance </w:t>
      </w:r>
      <w:r>
        <w:rPr>
          <w:rFonts w:ascii="Times New Roman" w:cs="Times New Roman" w:eastAsia="Times New Roman" w:hAnsi="Times New Roman"/>
          <w:sz w:val="28"/>
          <w:szCs w:val="28"/>
        </w:rPr>
        <w:t xml:space="preserve">(Страховка) — id, type, coverage;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Payment </w:t>
      </w:r>
      <w:r>
        <w:rPr>
          <w:rFonts w:ascii="Times New Roman" w:cs="Times New Roman" w:eastAsia="Times New Roman" w:hAnsi="Times New Roman"/>
          <w:sz w:val="28"/>
          <w:szCs w:val="28"/>
        </w:rPr>
        <w:t xml:space="preserve">(Платёж) — id, reservationId, amount, method, status, paidAt;</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Document </w:t>
      </w:r>
      <w:r>
        <w:rPr>
          <w:rFonts w:ascii="Times New Roman" w:cs="Times New Roman" w:eastAsia="Times New Roman" w:hAnsi="Times New Roman"/>
          <w:sz w:val="28"/>
          <w:szCs w:val="28"/>
        </w:rPr>
        <w:t xml:space="preserve">(Документ) — id, reservationId, type (voucher / ticket / invoice), fileUrl, generatedAt.</w:t>
      </w:r>
    </w:p>
    <w:p>
      <w:pPr>
        <w:spacing w:after="120" w:line="360"/>
        <w:ind w:firstLine="720"/>
        <w:jc w:val="both"/>
      </w:pPr>
      <w:r>
        <w:rPr>
          <w:rFonts w:ascii="Times New Roman" w:cs="Times New Roman" w:eastAsia="Times New Roman" w:hAnsi="Times New Roman"/>
          <w:sz w:val="28"/>
          <w:szCs w:val="28"/>
        </w:rPr>
        <w:t xml:space="preserve">Связи между классами с кратностью:</w:t>
      </w:r>
    </w:p>
    <w:p>
      <w:pPr>
        <w:pStyle w:val="ListParagraph"/>
        <w:numPr>
          <w:ilvl w:val="0"/>
          <w:numId w:val="2"/>
        </w:numPr>
        <w:spacing w:after="60" w:line="360"/>
        <w:jc w:val="both"/>
      </w:pPr>
      <w:r>
        <w:rPr>
          <w:rFonts w:ascii="Times New Roman" w:cs="Times New Roman" w:eastAsia="Times New Roman" w:hAnsi="Times New Roman"/>
          <w:sz w:val="28"/>
          <w:szCs w:val="28"/>
        </w:rPr>
        <w:t xml:space="preserve">Customer (1) — оформляет — Reservation (0..*);</w:t>
      </w:r>
    </w:p>
    <w:p>
      <w:pPr>
        <w:pStyle w:val="ListParagraph"/>
        <w:numPr>
          <w:ilvl w:val="0"/>
          <w:numId w:val="2"/>
        </w:numPr>
        <w:spacing w:after="60" w:line="360"/>
        <w:jc w:val="both"/>
      </w:pPr>
      <w:r>
        <w:rPr>
          <w:rFonts w:ascii="Times New Roman" w:cs="Times New Roman" w:eastAsia="Times New Roman" w:hAnsi="Times New Roman"/>
          <w:sz w:val="28"/>
          <w:szCs w:val="28"/>
        </w:rPr>
        <w:t xml:space="preserve">TourAgent (1) — обслуживает — Reservation (0..*);</w:t>
      </w:r>
    </w:p>
    <w:p>
      <w:pPr>
        <w:pStyle w:val="ListParagraph"/>
        <w:numPr>
          <w:ilvl w:val="0"/>
          <w:numId w:val="2"/>
        </w:numPr>
        <w:spacing w:after="60" w:line="360"/>
        <w:jc w:val="both"/>
      </w:pPr>
      <w:r>
        <w:rPr>
          <w:rFonts w:ascii="Times New Roman" w:cs="Times New Roman" w:eastAsia="Times New Roman" w:hAnsi="Times New Roman"/>
          <w:sz w:val="28"/>
          <w:szCs w:val="28"/>
        </w:rPr>
        <w:t xml:space="preserve">Reservation (0..*) — включает — TourProduct (1);</w:t>
      </w:r>
    </w:p>
    <w:p>
      <w:pPr>
        <w:pStyle w:val="ListParagraph"/>
        <w:numPr>
          <w:ilvl w:val="0"/>
          <w:numId w:val="2"/>
        </w:numPr>
        <w:spacing w:after="60" w:line="360"/>
        <w:jc w:val="both"/>
      </w:pPr>
      <w:r>
        <w:rPr>
          <w:rFonts w:ascii="Times New Roman" w:cs="Times New Roman" w:eastAsia="Times New Roman" w:hAnsi="Times New Roman"/>
          <w:sz w:val="28"/>
          <w:szCs w:val="28"/>
        </w:rPr>
        <w:t xml:space="preserve">TourProduct (0..*) — поставляет — Supplier (1);</w:t>
      </w:r>
    </w:p>
    <w:p>
      <w:pPr>
        <w:pStyle w:val="ListParagraph"/>
        <w:numPr>
          <w:ilvl w:val="0"/>
          <w:numId w:val="2"/>
        </w:numPr>
        <w:spacing w:after="60" w:line="360"/>
        <w:jc w:val="both"/>
      </w:pPr>
      <w:r>
        <w:rPr>
          <w:rFonts w:ascii="Times New Roman" w:cs="Times New Roman" w:eastAsia="Times New Roman" w:hAnsi="Times New Roman"/>
          <w:sz w:val="28"/>
          <w:szCs w:val="28"/>
        </w:rPr>
        <w:t xml:space="preserve">TourProduct (1) — агрегирует — Hotel (1) (агрегация);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TourProduct (1) — агрегирует — Flight (1..2) (агрегация для прямых и обратных рейсов);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TourProduct (1) — агрегирует — Insurance (0..1) (опциональная страховка);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Reservation (1) — оплачивается — Payment (1..*) (предоплата + доплата);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Reservation (1) — имеет — Document (1..*).</w:t>
      </w:r>
    </w:p>
    <w:p>
      <w:pPr>
        <w:spacing w:after="120" w:before="240"/>
        <w:jc w:val="center"/>
      </w:pPr>
      <w:r>
        <w:drawing>
          <wp:inline distT="0" distB="0" distL="0" distR="0">
            <wp:extent cx="6096000" cy="4067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096000" cy="4067175"/>
                    </a:xfrm>
                    <a:prstGeom prst="rect">
                      <a:avLst/>
                    </a:prstGeom>
                  </pic:spPr>
                </pic:pic>
              </a:graphicData>
            </a:graphic>
          </wp:inline>
        </w:drawing>
      </w:r>
    </w:p>
    <w:p>
      <w:pPr>
        <w:spacing w:after="240"/>
        <w:jc w:val="center"/>
      </w:pPr>
      <w:r>
        <w:rPr>
          <w:rFonts w:ascii="Times New Roman" w:cs="Times New Roman" w:eastAsia="Times New Roman" w:hAnsi="Times New Roman"/>
          <w:i/>
          <w:iCs/>
          <w:sz w:val="24"/>
          <w:szCs w:val="24"/>
        </w:rPr>
        <w:t xml:space="preserve">Рисунок 1 — Диаграмма классов системы «Продажа туристического продукта»</w:t>
      </w:r>
    </w:p>
    <w:p>
      <w:pPr>
        <w:pStyle w:val="Heading2"/>
        <w:spacing w:after="180" w:before="300" w:line="360"/>
      </w:pPr>
      <w:r>
        <w:rPr>
          <w:rFonts w:ascii="Times New Roman" w:cs="Times New Roman" w:eastAsia="Times New Roman" w:hAnsi="Times New Roman"/>
          <w:b/>
          <w:bCs/>
          <w:sz w:val="30"/>
          <w:szCs w:val="30"/>
        </w:rPr>
        <w:t xml:space="preserve">3.4. Диаграмма последовательности</w:t>
      </w:r>
    </w:p>
    <w:p>
      <w:pPr>
        <w:spacing w:after="120" w:line="360"/>
        <w:ind w:firstLine="720"/>
        <w:jc w:val="both"/>
      </w:pPr>
      <w:r>
        <w:rPr>
          <w:rFonts w:ascii="Times New Roman" w:cs="Times New Roman" w:eastAsia="Times New Roman" w:hAnsi="Times New Roman"/>
          <w:sz w:val="28"/>
          <w:szCs w:val="28"/>
        </w:rPr>
        <w:t xml:space="preserve">Диаграмма последовательности (рис. 2) описывает сценарий «успешная продажа тура» — типичный путь клиента от первого обращения до получения документов. В диаграмме участвуют восемь объектов: Клиент (актёр), :TourCatalog, :TourAgent (центральный объект), :Reservation, :PaymentSvc, :Supplier, :DocService, :Notifier. Полосы активации показывают, когда каждый объект участвует в выполнении сценария.</w:t>
      </w:r>
    </w:p>
    <w:p>
      <w:pPr>
        <w:pStyle w:val="Heading3"/>
        <w:spacing w:after="120" w:before="240" w:line="360"/>
      </w:pPr>
      <w:r>
        <w:rPr>
          <w:rFonts w:ascii="Times New Roman" w:cs="Times New Roman" w:eastAsia="Times New Roman" w:hAnsi="Times New Roman"/>
          <w:b/>
          <w:bCs/>
          <w:i/>
          <w:iCs/>
          <w:sz w:val="28"/>
          <w:szCs w:val="28"/>
        </w:rPr>
        <w:t xml:space="preserve">Шаги сценария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 Клиент → TourAgent: поиск тура (критерии);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 TourAgent → TourCatalog: find(criteria); TourCatalog возвращает список туров;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3. TourAgent → Клиент: варианты туров;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4. Клиент → TourAgent: выбор тура (tourId);</w:t>
      </w:r>
    </w:p>
    <w:p>
      <w:pPr>
        <w:pStyle w:val="ListParagraph"/>
        <w:numPr>
          <w:ilvl w:val="0"/>
          <w:numId w:val="2"/>
        </w:numPr>
        <w:spacing w:after="60" w:line="360"/>
        <w:jc w:val="both"/>
      </w:pPr>
      <w:r>
        <w:rPr>
          <w:rFonts w:ascii="Times New Roman" w:cs="Times New Roman" w:eastAsia="Times New Roman" w:hAnsi="Times New Roman"/>
          <w:sz w:val="28"/>
          <w:szCs w:val="28"/>
        </w:rPr>
        <w:t xml:space="preserve">5. TourAgent → Supplier: checkAvailability; Supplier подтверждает доступность и итоговую цену;</w:t>
      </w:r>
    </w:p>
    <w:p>
      <w:pPr>
        <w:pStyle w:val="ListParagraph"/>
        <w:numPr>
          <w:ilvl w:val="0"/>
          <w:numId w:val="2"/>
        </w:numPr>
        <w:spacing w:after="60" w:line="360"/>
        <w:jc w:val="both"/>
      </w:pPr>
      <w:r>
        <w:rPr>
          <w:rFonts w:ascii="Times New Roman" w:cs="Times New Roman" w:eastAsia="Times New Roman" w:hAnsi="Times New Roman"/>
          <w:sz w:val="28"/>
          <w:szCs w:val="28"/>
        </w:rPr>
        <w:t xml:space="preserve">6. Клиент → TourAgent: подтвердить (passportData);</w:t>
      </w:r>
    </w:p>
    <w:p>
      <w:pPr>
        <w:pStyle w:val="ListParagraph"/>
        <w:numPr>
          <w:ilvl w:val="0"/>
          <w:numId w:val="2"/>
        </w:numPr>
        <w:spacing w:after="60" w:line="360"/>
        <w:jc w:val="both"/>
      </w:pPr>
      <w:r>
        <w:rPr>
          <w:rFonts w:ascii="Times New Roman" w:cs="Times New Roman" w:eastAsia="Times New Roman" w:hAnsi="Times New Roman"/>
          <w:sz w:val="28"/>
          <w:szCs w:val="28"/>
        </w:rPr>
        <w:t xml:space="preserve">7. TourAgent → Reservation: create(customer, tour) — создаётся объект Reservation#42;</w:t>
      </w:r>
    </w:p>
    <w:p>
      <w:pPr>
        <w:pStyle w:val="ListParagraph"/>
        <w:numPr>
          <w:ilvl w:val="0"/>
          <w:numId w:val="2"/>
        </w:numPr>
        <w:spacing w:after="60" w:line="360"/>
        <w:jc w:val="both"/>
      </w:pPr>
      <w:r>
        <w:rPr>
          <w:rFonts w:ascii="Times New Roman" w:cs="Times New Roman" w:eastAsia="Times New Roman" w:hAnsi="Times New Roman"/>
          <w:sz w:val="28"/>
          <w:szCs w:val="28"/>
        </w:rPr>
        <w:t xml:space="preserve">8. TourAgent → PaymentSvc: initiatePayment(amount);</w:t>
      </w:r>
    </w:p>
    <w:p>
      <w:pPr>
        <w:pStyle w:val="ListParagraph"/>
        <w:numPr>
          <w:ilvl w:val="0"/>
          <w:numId w:val="2"/>
        </w:numPr>
        <w:spacing w:after="60" w:line="360"/>
        <w:jc w:val="both"/>
      </w:pPr>
      <w:r>
        <w:rPr>
          <w:rFonts w:ascii="Times New Roman" w:cs="Times New Roman" w:eastAsia="Times New Roman" w:hAnsi="Times New Roman"/>
          <w:sz w:val="28"/>
          <w:szCs w:val="28"/>
        </w:rPr>
        <w:t xml:space="preserve">9. PaymentSvc → Клиент: ссылка на оплату;</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10. Клиент → PaymentSvc: оплатить (card);</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11. PaymentSvc → PaymentSvc: process() (внутренний вызов: проверка карты, банка-эмитента);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12. PaymentSvc → TourAgent: paymentConfirmed;</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13. TourAgent → Reservation: confirm(payment);</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14. TourAgent → Supplier: bookConfirmed(tourId) — финальное подтверждение туроператору;</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15. TourAgent → DocService: generateDocuments(res); DocService возвращает voucher.pdf, tickets.pdf;</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16. TourAgent → Notifier: sendEmail(customer, docs);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17. TourAgent → Notifier: sendSMS(customer);</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18. TourAgent → Клиент: комплект документов.</w:t>
      </w:r>
    </w:p>
    <w:p>
      <w:pPr>
        <w:spacing w:after="120" w:before="240"/>
        <w:jc w:val="center"/>
      </w:pPr>
      <w:r>
        <w:drawing>
          <wp:inline distT="0" distB="0" distL="0" distR="0">
            <wp:extent cx="6096000" cy="44672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6096000" cy="4467225"/>
                    </a:xfrm>
                    <a:prstGeom prst="rect">
                      <a:avLst/>
                    </a:prstGeom>
                  </pic:spPr>
                </pic:pic>
              </a:graphicData>
            </a:graphic>
          </wp:inline>
        </w:drawing>
      </w:r>
    </w:p>
    <w:p>
      <w:pPr>
        <w:spacing w:after="240"/>
        <w:jc w:val="center"/>
      </w:pPr>
      <w:r>
        <w:rPr>
          <w:rFonts w:ascii="Times New Roman" w:cs="Times New Roman" w:eastAsia="Times New Roman" w:hAnsi="Times New Roman"/>
          <w:i/>
          <w:iCs/>
          <w:sz w:val="24"/>
          <w:szCs w:val="24"/>
        </w:rPr>
        <w:t xml:space="preserve">Рисунок 2 — Диаграмма последовательности (Sequence Diagram)</w:t>
      </w:r>
    </w:p>
    <w:p>
      <w:pPr>
        <w:pStyle w:val="Heading2"/>
        <w:spacing w:after="180" w:before="300" w:line="360"/>
      </w:pPr>
      <w:r>
        <w:rPr>
          <w:rFonts w:ascii="Times New Roman" w:cs="Times New Roman" w:eastAsia="Times New Roman" w:hAnsi="Times New Roman"/>
          <w:b/>
          <w:bCs/>
          <w:sz w:val="30"/>
          <w:szCs w:val="30"/>
        </w:rPr>
        <w:t xml:space="preserve">3.5. Технология построения</w:t>
      </w:r>
    </w:p>
    <w:p>
      <w:pPr>
        <w:spacing w:after="120" w:line="360"/>
        <w:ind w:firstLine="720"/>
        <w:jc w:val="both"/>
      </w:pPr>
      <w:r>
        <w:rPr>
          <w:rFonts w:ascii="Times New Roman" w:cs="Times New Roman" w:eastAsia="Times New Roman" w:hAnsi="Times New Roman"/>
          <w:sz w:val="28"/>
          <w:szCs w:val="28"/>
        </w:rPr>
        <w:t xml:space="preserve">Обе диаграммы построены программно — Python-скриптом generate_uml_tour.py, использующим библиотеку cairosvg для конвертации SVG в PNG. Это унифицированный подход для всех диаграмм данной работы (BPMN билет 3, C4 билеты 4 и 10, ERD билет 12, UML Use Case + Activity билет 17). Альтернативные инструменты для построения UML: PlantUML (текстовое описание → SVG), draw.io, Lucidchart, Visual Paradigm, Astah, российские «Бизнес-Студио», «KOMETA». В корпоративной разработке также применяются IDE-плагины (PlantUML в IntelliJ IDEA, Astah Class Diagram Editor) и системы моделирования бизнес-процессов BPMSoft, Camunda Modeler, Битрикс24 Бизнес-процессы.</w:t>
      </w:r>
    </w:p>
    <w:p>
      <w:pPr>
        <w:pStyle w:val="Heading2"/>
        <w:spacing w:after="180" w:before="300" w:line="360"/>
      </w:pPr>
      <w:r>
        <w:rPr>
          <w:rFonts w:ascii="Times New Roman" w:cs="Times New Roman" w:eastAsia="Times New Roman" w:hAnsi="Times New Roman"/>
          <w:b/>
          <w:bCs/>
          <w:sz w:val="30"/>
          <w:szCs w:val="30"/>
        </w:rPr>
        <w:t xml:space="preserve">3.6. Анализ результата</w:t>
      </w:r>
    </w:p>
    <w:p>
      <w:pPr>
        <w:spacing w:after="120" w:line="360"/>
        <w:ind w:firstLine="720"/>
        <w:jc w:val="both"/>
      </w:pPr>
      <w:r>
        <w:rPr>
          <w:rFonts w:ascii="Times New Roman" w:cs="Times New Roman" w:eastAsia="Times New Roman" w:hAnsi="Times New Roman"/>
          <w:sz w:val="28"/>
          <w:szCs w:val="28"/>
        </w:rPr>
        <w:t xml:space="preserve">Построенные диаграммы дополняют друг друга и дают полное представление о системе: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Диаграмма классов </w:t>
      </w:r>
      <w:r>
        <w:rPr>
          <w:rFonts w:ascii="Times New Roman" w:cs="Times New Roman" w:eastAsia="Times New Roman" w:hAnsi="Times New Roman"/>
          <w:sz w:val="28"/>
          <w:szCs w:val="28"/>
        </w:rPr>
        <w:t xml:space="preserve">даёт статическое представление: какие объекты существуют, какие у них поля и методы, как они связаны. Из неё легко вывести схему реляционной БД (классы → таблицы, ассоциации → внешние ключи), классы DTO для API, маппинги ORM (1С:Предприятие, Entity Framework, Hibernate, SQLAlchemy);</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Диаграмма последовательности </w:t>
      </w:r>
      <w:r>
        <w:rPr>
          <w:rFonts w:ascii="Times New Roman" w:cs="Times New Roman" w:eastAsia="Times New Roman" w:hAnsi="Times New Roman"/>
          <w:sz w:val="28"/>
          <w:szCs w:val="28"/>
        </w:rPr>
        <w:t xml:space="preserve">даёт динамическое представление: какие методы вызываются в каком порядке, как объекты передают данные. Из неё легко вывести интерфейсы микросервисов (TourCatalog API, PaymentSvc API, DocService API, Notifier API), последовательность HTTP-вызовов, схему сообщений в очереди Kafka.</w:t>
      </w:r>
    </w:p>
    <w:p>
      <w:pPr>
        <w:spacing w:after="120" w:line="360"/>
        <w:ind w:firstLine="720"/>
        <w:jc w:val="both"/>
      </w:pPr>
      <w:r>
        <w:rPr>
          <w:rFonts w:ascii="Times New Roman" w:cs="Times New Roman" w:eastAsia="Times New Roman" w:hAnsi="Times New Roman"/>
          <w:sz w:val="28"/>
          <w:szCs w:val="28"/>
        </w:rPr>
        <w:t xml:space="preserve">Особенности построенной модели: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Архитектура микросервисная: PaymentSvc, DocService, Notifier — отдельные сервисы с чёткими API;</w:t>
      </w:r>
    </w:p>
    <w:p>
      <w:pPr>
        <w:pStyle w:val="ListParagraph"/>
        <w:numPr>
          <w:ilvl w:val="0"/>
          <w:numId w:val="2"/>
        </w:numPr>
        <w:spacing w:after="60" w:line="360"/>
        <w:jc w:val="both"/>
      </w:pPr>
      <w:r>
        <w:rPr>
          <w:rFonts w:ascii="Times New Roman" w:cs="Times New Roman" w:eastAsia="Times New Roman" w:hAnsi="Times New Roman"/>
          <w:sz w:val="28"/>
          <w:szCs w:val="28"/>
        </w:rPr>
        <w:t xml:space="preserve">Reservation — центральная сущность модели, связывает Customer, TourProduct, Payment, Document;</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Использована агрегация (открытый ромб) для отношений TourProduct → Hotel/Flight/Insurance, подчёркивающая что компоненты могут существовать самостоятельно;</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Класс TourAgent — координатор сценария, аналог controller или сервис-фасад;</w:t>
      </w:r>
    </w:p>
    <w:p>
      <w:pPr>
        <w:pStyle w:val="ListParagraph"/>
        <w:numPr>
          <w:ilvl w:val="0"/>
          <w:numId w:val="2"/>
        </w:numPr>
        <w:spacing w:after="60" w:line="360"/>
        <w:jc w:val="both"/>
      </w:pPr>
      <w:r>
        <w:rPr>
          <w:rFonts w:ascii="Times New Roman" w:cs="Times New Roman" w:eastAsia="Times New Roman" w:hAnsi="Times New Roman"/>
          <w:sz w:val="28"/>
          <w:szCs w:val="28"/>
        </w:rPr>
        <w:t xml:space="preserve">Sequence Diagram показывает «happy path» — успешный сценарий; альтернативные ветки (отказ оплаты, отмена) обычно оформляются отдельными SD или фрагментами opt/alt.</w:t>
      </w:r>
    </w:p>
    <w:p>
      <w:pPr>
        <w:pStyle w:val="Heading2"/>
        <w:spacing w:after="180" w:before="300" w:line="360"/>
      </w:pPr>
      <w:r>
        <w:rPr>
          <w:rFonts w:ascii="Times New Roman" w:cs="Times New Roman" w:eastAsia="Times New Roman" w:hAnsi="Times New Roman"/>
          <w:b/>
          <w:bCs/>
          <w:sz w:val="30"/>
          <w:szCs w:val="30"/>
        </w:rPr>
        <w:t xml:space="preserve">Выводы по вопросу 3</w:t>
      </w:r>
    </w:p>
    <w:p>
      <w:pPr>
        <w:spacing w:after="120" w:line="360"/>
        <w:ind w:firstLine="720"/>
        <w:jc w:val="both"/>
      </w:pPr>
      <w:r>
        <w:rPr>
          <w:rFonts w:ascii="Times New Roman" w:cs="Times New Roman" w:eastAsia="Times New Roman" w:hAnsi="Times New Roman"/>
          <w:sz w:val="28"/>
          <w:szCs w:val="28"/>
        </w:rPr>
        <w:t xml:space="preserve">Для системы «Продажа туристического продукта» построены две UML-диаграммы по стандарту UML 2.5.1 (OMG, 2017). Диаграмма классов (рис. 1) содержит 10 классов (Customer, TourAgent, Reservation, TourProduct, Supplier, Hotel, Flight, Insurance, Payment, Document) с атрибутами, методами и 9 связями с указанием кратности; используются ассоциации и агрегации (TourProduct → Hotel/Flight/Insurance). Диаграмма последовательности (рис. 2) описывает сценарий успешной продажи через 18 сообщений между 8 объектами; центральный объект — TourAgent, координирующий взаимодействие с TourCatalog, Supplier, Reservation, PaymentSvc, DocService, Notifier. Диаграммы построены программно через Python + cairosvg по тому же подходу, что и BPMN/C4/ERD/UML-диаграммы в других билетах. Диаграммы дополняют друг друга: класс-диаграмма даёт статическую модель данных и кода, sequence-диаграмма — динамику взаимодействия объектов. Модель пригодна для генерации схемы БД, интерфейсов микросервисов, классов DTO.</w:t>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2"/>
        <w:szCs w:val="22"/>
      </w:rPr>
      <w:t xml:space="preserve">Стр. </w:t>
      <w:fldChar w:fldCharType="begin"/>
      <w:instrText xml:space="preserve">PAGE</w:instrText>
      <w:fldChar w:fldCharType="separate"/>
      <w:fldChar w:fldCharType="end"/>
      <w:t xml:space="preserve"> из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sz w:val="22"/>
        <w:szCs w:val="22"/>
      </w:rPr>
      <w:t xml:space="preserve">Билет № 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8"/>
        <w:szCs w:val="2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line="360"/>
      <w:jc w:val="center"/>
      <w:outlineLvl w:val="0"/>
    </w:pPr>
    <w:rPr>
      <w:rFonts w:ascii="Times New Roman" w:cs="Times New Roman" w:eastAsia="Times New Roman" w:hAnsi="Times New Roman"/>
      <w:b/>
      <w:bCs/>
      <w:sz w:val="32"/>
      <w:szCs w:val="32"/>
    </w:rPr>
  </w:style>
  <w:style w:type="paragraph" w:styleId="Heading2">
    <w:name w:val="Heading 2"/>
    <w:basedOn w:val="Normal"/>
    <w:next w:val="Normal"/>
    <w:qFormat/>
    <w:pPr>
      <w:spacing w:after="180" w:before="300" w:line="360"/>
      <w:outlineLvl w:val="1"/>
    </w:pPr>
    <w:rPr>
      <w:rFonts w:ascii="Times New Roman" w:cs="Times New Roman" w:eastAsia="Times New Roman" w:hAnsi="Times New Roman"/>
      <w:b/>
      <w:bCs/>
      <w:sz w:val="30"/>
      <w:szCs w:val="30"/>
    </w:rPr>
  </w:style>
  <w:style w:type="paragraph" w:styleId="Heading3">
    <w:name w:val="Heading 3"/>
    <w:basedOn w:val="Normal"/>
    <w:next w:val="Normal"/>
    <w:qFormat/>
    <w:pPr>
      <w:spacing w:after="120" w:before="240" w:line="360"/>
      <w:outlineLvl w:val="2"/>
    </w:pPr>
    <w:rPr>
      <w:rFonts w:ascii="Times New Roman" w:cs="Times New Roman" w:eastAsia="Times New Roman" w:hAnsi="Times New Roman"/>
      <w:b/>
      <w:bCs/>
      <w:i/>
      <w:i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05175c7aa8bc5050899389dba7201d19dbe01754.png"/><Relationship Id="rId10" Type="http://schemas.openxmlformats.org/officeDocument/2006/relationships/image" Target="media/de6df0791749e6e7bede55f9d10c2f9ce53bc647.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2026-05-27T08:50:45.632Z</dcterms:created>
  <dcterms:modified xsi:type="dcterms:W3CDTF">2026-05-27T08:50:45.647Z</dcterms:modified>
</cp:coreProperties>
</file>

<file path=docProps/custom.xml><?xml version="1.0" encoding="utf-8"?>
<Properties xmlns="http://schemas.openxmlformats.org/officeDocument/2006/custom-properties" xmlns:vt="http://schemas.openxmlformats.org/officeDocument/2006/docPropsVTypes"/>
</file>